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OECD"/>
        <w:tblW w:w="7938" w:type="dxa"/>
        <w:tblInd w:w="612" w:type="dxa"/>
        <w:tblLook w:val="04A0" w:firstRow="1" w:lastRow="0" w:firstColumn="1" w:lastColumn="0" w:noHBand="0" w:noVBand="1"/>
      </w:tblPr>
      <w:tblGrid>
        <w:gridCol w:w="1213"/>
        <w:gridCol w:w="6725"/>
      </w:tblGrid>
      <w:tr w:rsidR="00631CE5" w:rsidTr="00B87775">
        <w:trPr>
          <w:cnfStyle w:val="100000000000" w:firstRow="1" w:lastRow="0" w:firstColumn="0" w:lastColumn="0" w:oddVBand="0" w:evenVBand="0" w:oddHBand="0" w:evenHBand="0" w:firstRowFirstColumn="0" w:firstRowLastColumn="0" w:lastRowFirstColumn="0" w:lastRowLastColumn="0"/>
        </w:trPr>
        <w:tc>
          <w:tcPr>
            <w:tcW w:w="0" w:type="auto"/>
            <w:gridSpan w:val="2"/>
            <w:tcBorders>
              <w:top w:val="nil"/>
            </w:tcBorders>
            <w:hideMark/>
          </w:tcPr>
          <w:p w:rsidR="00631CE5" w:rsidRDefault="00631CE5">
            <w:pPr>
              <w:pStyle w:val="Title"/>
            </w:pPr>
            <w:bookmarkStart w:id="0" w:name="_GoBack"/>
            <w:bookmarkEnd w:id="0"/>
            <w:r>
              <w:br w:type="page"/>
              <w:t xml:space="preserve">GLOSSARY </w:t>
            </w:r>
          </w:p>
          <w:p w:rsidR="00631CE5" w:rsidRDefault="00631CE5">
            <w:pPr>
              <w:pStyle w:val="TableRow"/>
              <w:spacing w:before="0" w:after="120"/>
              <w:rPr>
                <w:rFonts w:ascii="Times New Roman" w:hAnsi="Times New Roman" w:cs="Times New Roman"/>
                <w:sz w:val="22"/>
                <w:szCs w:val="22"/>
              </w:rPr>
            </w:pPr>
          </w:p>
        </w:tc>
      </w:tr>
      <w:tr w:rsidR="00631CE5" w:rsidTr="00B87775">
        <w:tc>
          <w:tcPr>
            <w:tcW w:w="0" w:type="auto"/>
          </w:tcPr>
          <w:p w:rsidR="00631CE5" w:rsidRDefault="00631CE5">
            <w:pPr>
              <w:pStyle w:val="TableColumn"/>
              <w:jc w:val="left"/>
              <w:rPr>
                <w:iCs/>
                <w:color w:val="FF0000"/>
                <w:sz w:val="18"/>
                <w:u w:val="single"/>
              </w:rPr>
            </w:pPr>
            <w:r>
              <w:rPr>
                <w:b/>
                <w:sz w:val="18"/>
              </w:rPr>
              <w:t xml:space="preserve">Beneficial owner </w:t>
            </w:r>
          </w:p>
          <w:p w:rsidR="00631CE5" w:rsidRDefault="00631CE5">
            <w:pPr>
              <w:pStyle w:val="TableRow"/>
              <w:rPr>
                <w:b/>
                <w:sz w:val="18"/>
              </w:rPr>
            </w:pPr>
          </w:p>
          <w:p w:rsidR="00631CE5" w:rsidRDefault="00631CE5">
            <w:pPr>
              <w:pStyle w:val="TableRow"/>
              <w:rPr>
                <w:color w:val="FF0000"/>
                <w:u w:val="single"/>
              </w:rPr>
            </w:pPr>
          </w:p>
        </w:tc>
        <w:tc>
          <w:tcPr>
            <w:tcW w:w="0" w:type="auto"/>
          </w:tcPr>
          <w:p w:rsidR="00631CE5" w:rsidRDefault="00631CE5">
            <w:pPr>
              <w:pStyle w:val="TableColumn"/>
              <w:jc w:val="left"/>
              <w:rPr>
                <w:szCs w:val="17"/>
              </w:rPr>
            </w:pPr>
            <w:r>
              <w:rPr>
                <w:iCs/>
                <w:color w:val="FF0000"/>
                <w:szCs w:val="17"/>
                <w:u w:val="single"/>
              </w:rPr>
              <w:t>In the context of legal persons,</w:t>
            </w:r>
            <w:r w:rsidRPr="003D0CA5">
              <w:rPr>
                <w:iCs/>
                <w:color w:val="FF0000"/>
                <w:szCs w:val="17"/>
                <w:u w:val="single"/>
              </w:rPr>
              <w:t xml:space="preserve"> </w:t>
            </w:r>
            <w:r w:rsidRPr="00896AE3">
              <w:rPr>
                <w:i/>
                <w:iCs/>
                <w:color w:val="FF0000"/>
                <w:szCs w:val="17"/>
                <w:u w:val="single"/>
              </w:rPr>
              <w:t>b</w:t>
            </w:r>
            <w:r>
              <w:rPr>
                <w:i/>
                <w:iCs/>
                <w:szCs w:val="17"/>
              </w:rPr>
              <w:t xml:space="preserve">eneficial owner </w:t>
            </w:r>
            <w:r>
              <w:rPr>
                <w:szCs w:val="17"/>
              </w:rPr>
              <w:t>refers to the natural person(s) who ultimately</w:t>
            </w:r>
            <w:r>
              <w:rPr>
                <w:rStyle w:val="FootnoteReference"/>
                <w:rFonts w:cs="Times New Roman"/>
                <w:color w:val="000000"/>
                <w:sz w:val="17"/>
                <w:szCs w:val="17"/>
              </w:rPr>
              <w:t>1</w:t>
            </w:r>
            <w:r>
              <w:rPr>
                <w:rFonts w:cs="Times New Roman"/>
                <w:color w:val="000000"/>
                <w:szCs w:val="17"/>
              </w:rPr>
              <w:t xml:space="preserve"> </w:t>
            </w:r>
            <w:r>
              <w:rPr>
                <w:szCs w:val="17"/>
              </w:rPr>
              <w:t>owns or controls a customer</w:t>
            </w:r>
            <w:r>
              <w:rPr>
                <w:color w:val="000000"/>
                <w:szCs w:val="17"/>
                <w:vertAlign w:val="superscript"/>
              </w:rPr>
              <w:t>2</w:t>
            </w:r>
            <w:r>
              <w:rPr>
                <w:szCs w:val="17"/>
              </w:rPr>
              <w:t xml:space="preserve"> and/or the natural person on whose behalf a transaction is being conducted. It also includes those natural persons who exercise ultimate effective control over a legal person</w:t>
            </w:r>
            <w:r>
              <w:rPr>
                <w:color w:val="FF0000"/>
                <w:szCs w:val="17"/>
              </w:rPr>
              <w:t xml:space="preserve"> </w:t>
            </w:r>
            <w:r>
              <w:rPr>
                <w:strike/>
                <w:color w:val="FF0000"/>
                <w:szCs w:val="17"/>
              </w:rPr>
              <w:t>or arrangement</w:t>
            </w:r>
            <w:r>
              <w:rPr>
                <w:szCs w:val="17"/>
              </w:rPr>
              <w:t>. Only a natural person can be an ultimate beneficial owner, and more than one natural person can be the ultimate beneficial owner of a given legal person</w:t>
            </w:r>
            <w:r>
              <w:rPr>
                <w:strike/>
                <w:color w:val="FF0000"/>
                <w:szCs w:val="17"/>
              </w:rPr>
              <w:t xml:space="preserve"> or arrangement</w:t>
            </w:r>
            <w:r w:rsidRPr="003D0CA5">
              <w:rPr>
                <w:szCs w:val="17"/>
                <w:vertAlign w:val="superscript"/>
              </w:rPr>
              <w:t>3</w:t>
            </w:r>
            <w:r>
              <w:rPr>
                <w:szCs w:val="17"/>
              </w:rPr>
              <w:t xml:space="preserve">. </w:t>
            </w:r>
          </w:p>
          <w:p w:rsidR="00631CE5" w:rsidRPr="00B7035B" w:rsidRDefault="00631CE5">
            <w:pPr>
              <w:pStyle w:val="TableColumn"/>
              <w:jc w:val="left"/>
              <w:rPr>
                <w:szCs w:val="17"/>
              </w:rPr>
            </w:pPr>
            <w:r w:rsidRPr="00B7035B">
              <w:rPr>
                <w:szCs w:val="17"/>
                <w:vertAlign w:val="superscript"/>
              </w:rPr>
              <w:t xml:space="preserve">1 </w:t>
            </w:r>
            <w:r w:rsidRPr="00B7035B">
              <w:rPr>
                <w:szCs w:val="17"/>
              </w:rPr>
              <w:t xml:space="preserve">- Reference to “ultimately owns or controls” and “ultimate effective control” refer to situations in which ownership/control is exercised through a chain of ownership or by means of control other than direct control. </w:t>
            </w:r>
          </w:p>
          <w:p w:rsidR="00631CE5" w:rsidRPr="00B7035B" w:rsidRDefault="00631CE5">
            <w:pPr>
              <w:pStyle w:val="TableColumn"/>
              <w:jc w:val="left"/>
              <w:rPr>
                <w:szCs w:val="17"/>
              </w:rPr>
            </w:pPr>
            <w:r w:rsidRPr="00B7035B">
              <w:rPr>
                <w:szCs w:val="17"/>
                <w:vertAlign w:val="superscript"/>
              </w:rPr>
              <w:t xml:space="preserve">2 </w:t>
            </w:r>
            <w:r w:rsidRPr="00B7035B">
              <w:rPr>
                <w:szCs w:val="17"/>
              </w:rPr>
              <w:t>- This definition should also apply to beneficial owner of a beneficiary under a life or other investment linked insurance policy.</w:t>
            </w:r>
          </w:p>
          <w:p w:rsidR="00631CE5" w:rsidRPr="00B7035B" w:rsidRDefault="00631CE5">
            <w:pPr>
              <w:pStyle w:val="TableRow"/>
              <w:rPr>
                <w:szCs w:val="17"/>
              </w:rPr>
            </w:pPr>
            <w:r w:rsidRPr="00B7035B">
              <w:rPr>
                <w:szCs w:val="17"/>
                <w:vertAlign w:val="superscript"/>
              </w:rPr>
              <w:t>3</w:t>
            </w:r>
            <w:r w:rsidRPr="00B7035B">
              <w:rPr>
                <w:szCs w:val="17"/>
              </w:rPr>
              <w:t xml:space="preserve"> - The ultimate beneficial owner is always one or more natural persons. As set out in R.10, in the context of CDD it may not be possible to verify the identity of such persons through reasonable measures, and, to the extent that there is doubt about whether a person with a controlling ownership interest in a legal person is the ultimate beneficial owner, or where no natural person exerts control through ownership interests, the identity should be determined of the natural persons (if any) exercising control of the legal person</w:t>
            </w:r>
            <w:r w:rsidRPr="00B7035B">
              <w:rPr>
                <w:strike/>
                <w:color w:val="FF0000"/>
                <w:szCs w:val="17"/>
              </w:rPr>
              <w:t xml:space="preserve"> or arrangement</w:t>
            </w:r>
            <w:r w:rsidRPr="00B7035B">
              <w:rPr>
                <w:color w:val="FF0000"/>
                <w:szCs w:val="17"/>
              </w:rPr>
              <w:t xml:space="preserve"> </w:t>
            </w:r>
            <w:r w:rsidRPr="00B7035B">
              <w:rPr>
                <w:szCs w:val="17"/>
              </w:rPr>
              <w:t xml:space="preserve">through other means. Where no natural person is identified in that role, the natural person who holds the position of senior managing official should be identified and recorded as holding this position. This provision of R.10 does not amend or supersede the definition of who the </w:t>
            </w:r>
            <w:r w:rsidRPr="00B7035B">
              <w:rPr>
                <w:i/>
                <w:szCs w:val="17"/>
              </w:rPr>
              <w:t xml:space="preserve">beneficial owner </w:t>
            </w:r>
            <w:r w:rsidRPr="00B7035B">
              <w:rPr>
                <w:szCs w:val="17"/>
              </w:rPr>
              <w:t xml:space="preserve">is, but only sets out how CDD should be conducted in situations where the beneficial owner cannot be identified. </w:t>
            </w:r>
          </w:p>
          <w:p w:rsidR="00631CE5" w:rsidRDefault="00631CE5">
            <w:pPr>
              <w:pStyle w:val="TableRow"/>
              <w:rPr>
                <w:color w:val="FF0000"/>
                <w:szCs w:val="17"/>
                <w:u w:val="single"/>
              </w:rPr>
            </w:pPr>
          </w:p>
          <w:p w:rsidR="00631CE5" w:rsidRDefault="00631CE5">
            <w:pPr>
              <w:pStyle w:val="TableRow"/>
              <w:rPr>
                <w:rFonts w:cs="Times New Roman"/>
                <w:color w:val="FF0000"/>
                <w:szCs w:val="24"/>
                <w:u w:val="single"/>
              </w:rPr>
            </w:pPr>
            <w:r>
              <w:rPr>
                <w:rFonts w:cs="Times New Roman"/>
                <w:color w:val="FF0000"/>
                <w:szCs w:val="24"/>
                <w:u w:val="single"/>
              </w:rPr>
              <w:t>[In the context of legal arrangements, beneficial owner includes: (</w:t>
            </w:r>
            <w:proofErr w:type="spellStart"/>
            <w:r>
              <w:rPr>
                <w:rFonts w:cs="Times New Roman"/>
                <w:color w:val="FF0000"/>
                <w:szCs w:val="24"/>
                <w:u w:val="single"/>
              </w:rPr>
              <w:t>i</w:t>
            </w:r>
            <w:proofErr w:type="spellEnd"/>
            <w:r>
              <w:rPr>
                <w:rFonts w:cs="Times New Roman"/>
                <w:color w:val="FF0000"/>
                <w:szCs w:val="24"/>
                <w:u w:val="single"/>
              </w:rPr>
              <w:t>) the settlor(s); (ii) the trustee(s); (iii) the protector(s) (if any); (iv) each beneficiary, or where applicable, the class of beneficiaries or objects of a power; and (v) any other natural person(s) exercising ultimate effective control over the arrangement</w:t>
            </w:r>
            <w:r w:rsidRPr="005E20AC">
              <w:rPr>
                <w:rFonts w:cs="Times New Roman"/>
                <w:color w:val="FF0000"/>
                <w:szCs w:val="24"/>
                <w:u w:val="single"/>
                <w:vertAlign w:val="superscript"/>
              </w:rPr>
              <w:t>4</w:t>
            </w:r>
            <w:r>
              <w:rPr>
                <w:rFonts w:cs="Times New Roman"/>
                <w:color w:val="FF0000"/>
                <w:szCs w:val="24"/>
                <w:u w:val="single"/>
              </w:rPr>
              <w:t>. In the case of a legal arrangement similar to an express trust, beneficial owner refers to the natural person(s) holding an equivalent position to those referred above. When the trustee and any other party to the legal arrangement is a legal person, the beneficial owner of that legal person should be identified.]</w:t>
            </w:r>
          </w:p>
          <w:p w:rsidR="00631CE5" w:rsidRDefault="00631CE5">
            <w:pPr>
              <w:pStyle w:val="TableRow"/>
              <w:rPr>
                <w:color w:val="FF0000"/>
                <w:szCs w:val="17"/>
                <w:u w:val="single"/>
              </w:rPr>
            </w:pPr>
          </w:p>
          <w:p w:rsidR="00631CE5" w:rsidRDefault="00631CE5">
            <w:pPr>
              <w:pStyle w:val="TableRow"/>
              <w:rPr>
                <w:color w:val="FF0000"/>
                <w:szCs w:val="17"/>
                <w:u w:val="single"/>
              </w:rPr>
            </w:pPr>
            <w:r w:rsidRPr="007B3A1D">
              <w:rPr>
                <w:color w:val="FF0000"/>
                <w:szCs w:val="17"/>
                <w:u w:val="single"/>
                <w:vertAlign w:val="superscript"/>
              </w:rPr>
              <w:t xml:space="preserve">4 </w:t>
            </w:r>
            <w:r w:rsidRPr="007B3A1D">
              <w:rPr>
                <w:color w:val="FF0000"/>
                <w:szCs w:val="17"/>
                <w:u w:val="single"/>
              </w:rPr>
              <w:t xml:space="preserve">- Reference to “ultimate effective control” over trusts or similar legal arrangements includes situations in which ownership/control is exercised through a chain of ownership/control. </w:t>
            </w:r>
          </w:p>
          <w:p w:rsidR="00631CE5" w:rsidRDefault="00631CE5">
            <w:pPr>
              <w:pStyle w:val="TableRow"/>
              <w:rPr>
                <w:i/>
                <w:color w:val="FF0000"/>
                <w:szCs w:val="17"/>
                <w:u w:val="single"/>
              </w:rPr>
            </w:pPr>
            <w:r>
              <w:rPr>
                <w:color w:val="FF0000"/>
                <w:szCs w:val="17"/>
                <w:u w:val="single"/>
              </w:rPr>
              <w:t xml:space="preserve"> </w:t>
            </w:r>
          </w:p>
        </w:tc>
      </w:tr>
      <w:tr w:rsidR="00631CE5" w:rsidTr="00B87775">
        <w:tc>
          <w:tcPr>
            <w:tcW w:w="0" w:type="auto"/>
          </w:tcPr>
          <w:p w:rsidR="00631CE5" w:rsidRDefault="00631CE5">
            <w:pPr>
              <w:pStyle w:val="TableRow"/>
              <w:rPr>
                <w:b/>
              </w:rPr>
            </w:pPr>
            <w:r>
              <w:rPr>
                <w:b/>
              </w:rPr>
              <w:t>Beneficiaries</w:t>
            </w:r>
          </w:p>
        </w:tc>
        <w:tc>
          <w:tcPr>
            <w:tcW w:w="0" w:type="auto"/>
          </w:tcPr>
          <w:p w:rsidR="00631CE5" w:rsidRDefault="00631CE5">
            <w:pPr>
              <w:pStyle w:val="TableRow"/>
            </w:pPr>
            <w:r>
              <w:t>Please refer to the IN to Recommendation 8.</w:t>
            </w:r>
          </w:p>
        </w:tc>
      </w:tr>
      <w:tr w:rsidR="00631CE5" w:rsidTr="00B87775">
        <w:tc>
          <w:tcPr>
            <w:tcW w:w="0" w:type="auto"/>
            <w:hideMark/>
          </w:tcPr>
          <w:p w:rsidR="00631CE5" w:rsidRDefault="00631CE5">
            <w:pPr>
              <w:pStyle w:val="TableRow"/>
              <w:rPr>
                <w:b/>
              </w:rPr>
            </w:pPr>
            <w:r>
              <w:rPr>
                <w:b/>
              </w:rPr>
              <w:t xml:space="preserve">Beneficiary </w:t>
            </w:r>
          </w:p>
          <w:p w:rsidR="00631CE5" w:rsidRDefault="00631CE5">
            <w:pPr>
              <w:pStyle w:val="TableRow"/>
              <w:rPr>
                <w:b/>
              </w:rPr>
            </w:pPr>
          </w:p>
          <w:p w:rsidR="00631CE5" w:rsidRDefault="00631CE5">
            <w:pPr>
              <w:pStyle w:val="TableRow"/>
              <w:rPr>
                <w:b/>
              </w:rPr>
            </w:pPr>
          </w:p>
        </w:tc>
        <w:tc>
          <w:tcPr>
            <w:tcW w:w="0" w:type="auto"/>
            <w:hideMark/>
          </w:tcPr>
          <w:p w:rsidR="00631CE5" w:rsidRDefault="00631CE5">
            <w:pPr>
              <w:pStyle w:val="TableRow"/>
            </w:pPr>
            <w:r>
              <w:t xml:space="preserve">The meaning of the term </w:t>
            </w:r>
            <w:r>
              <w:rPr>
                <w:i/>
                <w:iCs/>
              </w:rPr>
              <w:t xml:space="preserve">beneficiary </w:t>
            </w:r>
            <w:r>
              <w:t xml:space="preserve">in the FATF Recommendations depends on the context: </w:t>
            </w:r>
          </w:p>
          <w:p w:rsidR="00631CE5" w:rsidRDefault="00631CE5" w:rsidP="00631CE5">
            <w:pPr>
              <w:pStyle w:val="TableRow"/>
              <w:numPr>
                <w:ilvl w:val="0"/>
                <w:numId w:val="12"/>
              </w:numPr>
            </w:pPr>
            <w:r>
              <w:t xml:space="preserve">In trust law, a beneficiary is the person or persons who are </w:t>
            </w:r>
            <w:r>
              <w:rPr>
                <w:color w:val="FF0000"/>
                <w:u w:val="single"/>
              </w:rPr>
              <w:t xml:space="preserve">or may become </w:t>
            </w:r>
            <w:r>
              <w:t xml:space="preserve">entitled to the benefit of any trust arrangement. A beneficiary can be a natural </w:t>
            </w:r>
            <w:r>
              <w:rPr>
                <w:color w:val="FF0000"/>
                <w:u w:val="single"/>
              </w:rPr>
              <w:t xml:space="preserve">person </w:t>
            </w:r>
            <w:r>
              <w:t xml:space="preserve">or </w:t>
            </w:r>
            <w:r>
              <w:rPr>
                <w:color w:val="FF0000"/>
                <w:u w:val="single"/>
              </w:rPr>
              <w:t>a</w:t>
            </w:r>
            <w:r>
              <w:rPr>
                <w:color w:val="FF0000"/>
              </w:rPr>
              <w:t xml:space="preserve"> </w:t>
            </w:r>
            <w:r>
              <w:t>legal person or arrangement. All trusts (other than charitable or statut</w:t>
            </w:r>
            <w:r>
              <w:rPr>
                <w:szCs w:val="17"/>
              </w:rPr>
              <w:t>ory permitted non-charitable trusts) are required to have ascertainable beneficiaries. While trusts must always have some ultimately ascertainable beneficiary,</w:t>
            </w:r>
            <w:r>
              <w:rPr>
                <w:color w:val="FF0000"/>
                <w:szCs w:val="17"/>
              </w:rPr>
              <w:t xml:space="preserve"> trusts </w:t>
            </w:r>
            <w:r>
              <w:rPr>
                <w:szCs w:val="17"/>
              </w:rPr>
              <w:t>may have no defined existing</w:t>
            </w:r>
            <w:r>
              <w:rPr>
                <w:color w:val="FF0000"/>
                <w:szCs w:val="17"/>
              </w:rPr>
              <w:t xml:space="preserve"> </w:t>
            </w:r>
            <w:r>
              <w:rPr>
                <w:szCs w:val="17"/>
              </w:rPr>
              <w:t xml:space="preserve">beneficiaries </w:t>
            </w:r>
            <w:r w:rsidRPr="00896AE3">
              <w:rPr>
                <w:color w:val="FF0000"/>
                <w:szCs w:val="17"/>
                <w:u w:val="single"/>
              </w:rPr>
              <w:t>when they are set up</w:t>
            </w:r>
            <w:r w:rsidRPr="00896AE3">
              <w:rPr>
                <w:color w:val="FF0000"/>
                <w:szCs w:val="17"/>
              </w:rPr>
              <w:t xml:space="preserve"> </w:t>
            </w:r>
            <w:r>
              <w:rPr>
                <w:szCs w:val="17"/>
              </w:rPr>
              <w:t xml:space="preserve">but only </w:t>
            </w:r>
            <w:r w:rsidRPr="00896AE3">
              <w:rPr>
                <w:color w:val="FF0000"/>
                <w:szCs w:val="17"/>
                <w:u w:val="single"/>
              </w:rPr>
              <w:t>a class of beneficiaries or</w:t>
            </w:r>
            <w:r w:rsidRPr="00896AE3">
              <w:rPr>
                <w:color w:val="FF0000"/>
                <w:szCs w:val="17"/>
              </w:rPr>
              <w:t xml:space="preserve"> </w:t>
            </w:r>
            <w:r>
              <w:rPr>
                <w:szCs w:val="17"/>
              </w:rPr>
              <w:t>objects of a power until some person becomes entitled as beneficiary to income or capital on the expiry of a defined period, known as the accumulation period</w:t>
            </w:r>
            <w:r>
              <w:rPr>
                <w:color w:val="FF0000"/>
                <w:szCs w:val="17"/>
                <w:u w:val="single"/>
              </w:rPr>
              <w:t>, or following exercise of trustee discretion in the case of a discretionary trust</w:t>
            </w:r>
            <w:r>
              <w:rPr>
                <w:szCs w:val="17"/>
              </w:rPr>
              <w:t>. Th</w:t>
            </w:r>
            <w:r>
              <w:rPr>
                <w:color w:val="FF0000"/>
                <w:szCs w:val="17"/>
                <w:u w:val="single"/>
              </w:rPr>
              <w:t xml:space="preserve">e accumulation </w:t>
            </w:r>
            <w:r>
              <w:rPr>
                <w:strike/>
                <w:color w:val="FF0000"/>
                <w:szCs w:val="17"/>
                <w:u w:val="single"/>
              </w:rPr>
              <w:t>i</w:t>
            </w:r>
            <w:r>
              <w:rPr>
                <w:strike/>
                <w:color w:val="FF0000"/>
                <w:szCs w:val="17"/>
              </w:rPr>
              <w:t>s</w:t>
            </w:r>
            <w:r>
              <w:rPr>
                <w:color w:val="FF0000"/>
                <w:szCs w:val="17"/>
                <w:u w:val="single"/>
              </w:rPr>
              <w:t xml:space="preserve"> </w:t>
            </w:r>
            <w:r>
              <w:rPr>
                <w:szCs w:val="17"/>
              </w:rPr>
              <w:t>period is normally coextensive with the trust perpetuity period which is usually referred to in the trust deed as the trust period.</w:t>
            </w:r>
          </w:p>
          <w:p w:rsidR="00631CE5" w:rsidRDefault="00631CE5">
            <w:pPr>
              <w:pStyle w:val="TableRow"/>
            </w:pPr>
            <w:r>
              <w:t>[…]</w:t>
            </w:r>
          </w:p>
        </w:tc>
      </w:tr>
      <w:tr w:rsidR="00631CE5" w:rsidTr="00B87775">
        <w:tc>
          <w:tcPr>
            <w:tcW w:w="0" w:type="auto"/>
            <w:hideMark/>
          </w:tcPr>
          <w:p w:rsidR="00631CE5" w:rsidRDefault="00631CE5">
            <w:pPr>
              <w:pStyle w:val="TableRow"/>
              <w:rPr>
                <w:b/>
              </w:rPr>
            </w:pPr>
            <w:r>
              <w:rPr>
                <w:b/>
              </w:rPr>
              <w:t xml:space="preserve">Express trust </w:t>
            </w:r>
          </w:p>
        </w:tc>
        <w:tc>
          <w:tcPr>
            <w:tcW w:w="0" w:type="auto"/>
            <w:hideMark/>
          </w:tcPr>
          <w:p w:rsidR="00631CE5" w:rsidRDefault="00631CE5">
            <w:pPr>
              <w:pStyle w:val="TableRow"/>
            </w:pPr>
            <w:r>
              <w:rPr>
                <w:i/>
                <w:iCs/>
              </w:rPr>
              <w:t xml:space="preserve">Express trust </w:t>
            </w:r>
            <w:r>
              <w:t xml:space="preserve">refers to a trust clearly created by the settlor, usually in the form of a document e.g. a written deed of trust. They are to be contrasted with trusts which come into being through the operation of the law and which do not result from the clear intent or decision of a settlor to create a trust or similar legal arrangements (e.g. constructive trust). </w:t>
            </w:r>
          </w:p>
          <w:p w:rsidR="00631CE5" w:rsidRDefault="00631CE5">
            <w:pPr>
              <w:pStyle w:val="TableRow"/>
            </w:pPr>
          </w:p>
        </w:tc>
      </w:tr>
      <w:tr w:rsidR="00631CE5" w:rsidTr="00B87775">
        <w:tc>
          <w:tcPr>
            <w:tcW w:w="0" w:type="auto"/>
            <w:hideMark/>
          </w:tcPr>
          <w:p w:rsidR="00631CE5" w:rsidRDefault="00631CE5">
            <w:pPr>
              <w:pStyle w:val="TableRow"/>
              <w:rPr>
                <w:b/>
              </w:rPr>
            </w:pPr>
            <w:r>
              <w:rPr>
                <w:b/>
              </w:rPr>
              <w:lastRenderedPageBreak/>
              <w:t>Legal arrangements</w:t>
            </w:r>
          </w:p>
        </w:tc>
        <w:tc>
          <w:tcPr>
            <w:tcW w:w="0" w:type="auto"/>
            <w:hideMark/>
          </w:tcPr>
          <w:p w:rsidR="00631CE5" w:rsidRDefault="00631CE5">
            <w:pPr>
              <w:pStyle w:val="TableRow"/>
              <w:rPr>
                <w:rFonts w:cs="Times New Roman"/>
                <w:szCs w:val="17"/>
              </w:rPr>
            </w:pPr>
            <w:r>
              <w:rPr>
                <w:rFonts w:cs="Times New Roman"/>
                <w:i/>
                <w:iCs/>
                <w:szCs w:val="17"/>
              </w:rPr>
              <w:t xml:space="preserve">Legal arrangements </w:t>
            </w:r>
            <w:r>
              <w:rPr>
                <w:rFonts w:cs="Times New Roman"/>
                <w:szCs w:val="17"/>
              </w:rPr>
              <w:t xml:space="preserve">refers to express trusts and other </w:t>
            </w:r>
            <w:r>
              <w:rPr>
                <w:rFonts w:cs="Times New Roman"/>
                <w:color w:val="FF0000"/>
                <w:szCs w:val="17"/>
                <w:u w:val="single"/>
              </w:rPr>
              <w:t xml:space="preserve">similar </w:t>
            </w:r>
            <w:r>
              <w:rPr>
                <w:rFonts w:cs="Times New Roman"/>
                <w:szCs w:val="17"/>
              </w:rPr>
              <w:t>legal arrangements. Examples of other similar arrangements</w:t>
            </w:r>
            <w:r>
              <w:rPr>
                <w:rFonts w:cs="Times New Roman"/>
                <w:color w:val="FF0000"/>
                <w:szCs w:val="17"/>
                <w:u w:val="single"/>
                <w:vertAlign w:val="superscript"/>
              </w:rPr>
              <w:t>1</w:t>
            </w:r>
            <w:r>
              <w:rPr>
                <w:rFonts w:cs="Times New Roman"/>
                <w:szCs w:val="17"/>
              </w:rPr>
              <w:t xml:space="preserve"> (for AML/CFT purposes) </w:t>
            </w:r>
            <w:r>
              <w:rPr>
                <w:rFonts w:cs="Times New Roman"/>
                <w:color w:val="FF0000"/>
                <w:szCs w:val="17"/>
                <w:u w:val="single"/>
              </w:rPr>
              <w:t>may</w:t>
            </w:r>
            <w:r>
              <w:rPr>
                <w:rFonts w:cs="Times New Roman"/>
                <w:szCs w:val="17"/>
              </w:rPr>
              <w:t xml:space="preserve"> include </w:t>
            </w:r>
            <w:r>
              <w:rPr>
                <w:rFonts w:cs="Times New Roman"/>
                <w:color w:val="FF0000"/>
                <w:szCs w:val="17"/>
                <w:u w:val="single"/>
              </w:rPr>
              <w:t>but are not limited to</w:t>
            </w:r>
            <w:r>
              <w:rPr>
                <w:rFonts w:cs="Times New Roman"/>
                <w:szCs w:val="17"/>
              </w:rPr>
              <w:t xml:space="preserve"> </w:t>
            </w:r>
            <w:proofErr w:type="spellStart"/>
            <w:r>
              <w:rPr>
                <w:rFonts w:cs="Times New Roman"/>
                <w:szCs w:val="17"/>
              </w:rPr>
              <w:t>fiducie</w:t>
            </w:r>
            <w:proofErr w:type="spellEnd"/>
            <w:r>
              <w:rPr>
                <w:rFonts w:cs="Times New Roman"/>
                <w:szCs w:val="17"/>
              </w:rPr>
              <w:t xml:space="preserve">, </w:t>
            </w:r>
            <w:r>
              <w:rPr>
                <w:rFonts w:cs="Times New Roman"/>
                <w:color w:val="FF0000"/>
                <w:szCs w:val="17"/>
                <w:u w:val="single"/>
              </w:rPr>
              <w:t xml:space="preserve">certain types of </w:t>
            </w:r>
            <w:proofErr w:type="spellStart"/>
            <w:r>
              <w:rPr>
                <w:rFonts w:cs="Times New Roman"/>
                <w:color w:val="FF0000"/>
                <w:szCs w:val="17"/>
                <w:u w:val="single"/>
              </w:rPr>
              <w:t>T</w:t>
            </w:r>
            <w:r>
              <w:rPr>
                <w:rFonts w:cs="Times New Roman"/>
                <w:strike/>
                <w:color w:val="FF0000"/>
                <w:szCs w:val="17"/>
              </w:rPr>
              <w:t>t</w:t>
            </w:r>
            <w:r>
              <w:rPr>
                <w:rFonts w:cs="Times New Roman"/>
                <w:szCs w:val="17"/>
              </w:rPr>
              <w:t>reuhand</w:t>
            </w:r>
            <w:proofErr w:type="spellEnd"/>
            <w:r>
              <w:rPr>
                <w:rFonts w:cs="Times New Roman"/>
                <w:strike/>
                <w:color w:val="FF0000"/>
                <w:szCs w:val="17"/>
              </w:rPr>
              <w:t xml:space="preserve"> and</w:t>
            </w:r>
            <w:r>
              <w:rPr>
                <w:rFonts w:cs="Times New Roman"/>
                <w:color w:val="FF0000"/>
                <w:szCs w:val="17"/>
              </w:rPr>
              <w:t>,</w:t>
            </w:r>
            <w:r>
              <w:rPr>
                <w:rFonts w:cs="Times New Roman"/>
                <w:szCs w:val="17"/>
              </w:rPr>
              <w:t xml:space="preserve"> </w:t>
            </w:r>
            <w:proofErr w:type="spellStart"/>
            <w:r>
              <w:rPr>
                <w:rFonts w:cs="Times New Roman"/>
                <w:szCs w:val="17"/>
              </w:rPr>
              <w:t>fideicomiso</w:t>
            </w:r>
            <w:proofErr w:type="spellEnd"/>
            <w:r>
              <w:rPr>
                <w:rFonts w:cs="Times New Roman"/>
                <w:color w:val="FF0000"/>
                <w:szCs w:val="17"/>
              </w:rPr>
              <w:t>, a</w:t>
            </w:r>
            <w:r>
              <w:rPr>
                <w:rFonts w:cs="Times New Roman"/>
                <w:color w:val="FF0000"/>
                <w:szCs w:val="17"/>
                <w:u w:val="single"/>
              </w:rPr>
              <w:t>nd Waqf</w:t>
            </w:r>
            <w:r>
              <w:rPr>
                <w:rFonts w:cs="Times New Roman"/>
                <w:strike/>
                <w:color w:val="FF0000"/>
                <w:szCs w:val="17"/>
                <w:u w:val="single"/>
                <w:vertAlign w:val="superscript"/>
              </w:rPr>
              <w:t>1</w:t>
            </w:r>
            <w:r>
              <w:rPr>
                <w:rFonts w:cs="Times New Roman"/>
                <w:color w:val="FF0000"/>
                <w:szCs w:val="17"/>
                <w:u w:val="single"/>
                <w:vertAlign w:val="superscript"/>
              </w:rPr>
              <w:t>2</w:t>
            </w:r>
            <w:r>
              <w:rPr>
                <w:rFonts w:cs="Times New Roman"/>
                <w:szCs w:val="17"/>
                <w:u w:val="single"/>
              </w:rPr>
              <w:t>.</w:t>
            </w:r>
            <w:r>
              <w:rPr>
                <w:rFonts w:cs="Times New Roman"/>
                <w:szCs w:val="17"/>
              </w:rPr>
              <w:t xml:space="preserve"> </w:t>
            </w:r>
          </w:p>
          <w:p w:rsidR="00631CE5" w:rsidRDefault="00631CE5">
            <w:pPr>
              <w:pStyle w:val="TableRow"/>
              <w:rPr>
                <w:rFonts w:cs="Times New Roman"/>
                <w:szCs w:val="17"/>
              </w:rPr>
            </w:pPr>
          </w:p>
          <w:p w:rsidR="00631CE5" w:rsidRDefault="00631CE5">
            <w:pPr>
              <w:pStyle w:val="TableRow"/>
              <w:rPr>
                <w:color w:val="FF0000"/>
                <w:u w:val="single"/>
              </w:rPr>
            </w:pPr>
            <w:r>
              <w:rPr>
                <w:color w:val="FF0000"/>
                <w:u w:val="single"/>
                <w:vertAlign w:val="superscript"/>
              </w:rPr>
              <w:t xml:space="preserve">1 </w:t>
            </w:r>
            <w:r>
              <w:rPr>
                <w:color w:val="FF0000"/>
                <w:u w:val="single"/>
              </w:rPr>
              <w:t>– Similarity is assessed having regard to Article 2 of the Hague Convention on the law applicable to trusts and their recognition on the basis of whether legal arrangements have a similar structure or perform a similar function to an express trust.</w:t>
            </w:r>
          </w:p>
          <w:p w:rsidR="00631CE5" w:rsidRDefault="00631CE5">
            <w:pPr>
              <w:pStyle w:val="TableRow"/>
              <w:rPr>
                <w:rFonts w:cs="Times New Roman"/>
                <w:color w:val="FF0000"/>
                <w:szCs w:val="17"/>
                <w:u w:val="single"/>
              </w:rPr>
            </w:pPr>
            <w:r>
              <w:rPr>
                <w:color w:val="FF0000"/>
                <w:u w:val="single"/>
                <w:vertAlign w:val="superscript"/>
              </w:rPr>
              <w:t>2</w:t>
            </w:r>
            <w:r>
              <w:rPr>
                <w:color w:val="FF0000"/>
                <w:u w:val="single"/>
              </w:rPr>
              <w:t xml:space="preserve">- Except in countries where </w:t>
            </w:r>
            <w:proofErr w:type="spellStart"/>
            <w:r>
              <w:rPr>
                <w:color w:val="FF0000"/>
                <w:u w:val="single"/>
              </w:rPr>
              <w:t>Waqf</w:t>
            </w:r>
            <w:proofErr w:type="spellEnd"/>
            <w:r>
              <w:rPr>
                <w:color w:val="FF0000"/>
                <w:u w:val="single"/>
              </w:rPr>
              <w:t xml:space="preserve"> are legal persons under Recommendation 24. </w:t>
            </w:r>
          </w:p>
          <w:p w:rsidR="00631CE5" w:rsidRDefault="00631CE5">
            <w:pPr>
              <w:pStyle w:val="TableRow"/>
              <w:rPr>
                <w:szCs w:val="17"/>
              </w:rPr>
            </w:pPr>
          </w:p>
        </w:tc>
      </w:tr>
      <w:tr w:rsidR="00631CE5" w:rsidRPr="00D73EF1" w:rsidTr="00B87775">
        <w:tc>
          <w:tcPr>
            <w:tcW w:w="0" w:type="auto"/>
          </w:tcPr>
          <w:p w:rsidR="00631CE5" w:rsidRDefault="00631CE5">
            <w:pPr>
              <w:pStyle w:val="TableRow"/>
              <w:rPr>
                <w:b/>
                <w:lang w:val="en-HK"/>
              </w:rPr>
            </w:pPr>
            <w:r>
              <w:rPr>
                <w:b/>
                <w:lang w:val="en-HK"/>
              </w:rPr>
              <w:t>Settlor</w:t>
            </w:r>
          </w:p>
        </w:tc>
        <w:tc>
          <w:tcPr>
            <w:tcW w:w="0" w:type="auto"/>
          </w:tcPr>
          <w:p w:rsidR="00631CE5" w:rsidRDefault="00631CE5">
            <w:pPr>
              <w:pStyle w:val="TableRow"/>
            </w:pPr>
            <w:r>
              <w:rPr>
                <w:i/>
              </w:rPr>
              <w:t xml:space="preserve">Settlors </w:t>
            </w:r>
            <w:r>
              <w:t>are natural or legal persons who transfer ownership of their assets to trustees by means of a trust deed or similar arrangement.</w:t>
            </w:r>
          </w:p>
        </w:tc>
      </w:tr>
      <w:tr w:rsidR="00631CE5" w:rsidTr="00B87775">
        <w:tc>
          <w:tcPr>
            <w:tcW w:w="0" w:type="auto"/>
          </w:tcPr>
          <w:p w:rsidR="00631CE5" w:rsidRDefault="00631CE5">
            <w:pPr>
              <w:pStyle w:val="TableColumn"/>
              <w:jc w:val="both"/>
              <w:rPr>
                <w:b/>
                <w:lang w:val="en-HK"/>
              </w:rPr>
            </w:pPr>
            <w:r>
              <w:rPr>
                <w:b/>
                <w:lang w:val="en-HK"/>
              </w:rPr>
              <w:t xml:space="preserve">Trustee </w:t>
            </w:r>
          </w:p>
          <w:p w:rsidR="00631CE5" w:rsidRDefault="00631CE5">
            <w:pPr>
              <w:pStyle w:val="TableColumn"/>
              <w:jc w:val="both"/>
              <w:rPr>
                <w:b/>
                <w:lang w:val="en-HK"/>
              </w:rPr>
            </w:pPr>
          </w:p>
        </w:tc>
        <w:tc>
          <w:tcPr>
            <w:tcW w:w="0" w:type="auto"/>
          </w:tcPr>
          <w:p w:rsidR="00631CE5" w:rsidRDefault="00631CE5">
            <w:pPr>
              <w:pStyle w:val="TableColumn"/>
              <w:jc w:val="left"/>
            </w:pPr>
            <w:r>
              <w:t xml:space="preserve">The terms </w:t>
            </w:r>
            <w:r>
              <w:rPr>
                <w:i/>
              </w:rPr>
              <w:t>trust</w:t>
            </w:r>
            <w:r>
              <w:t xml:space="preserve"> and </w:t>
            </w:r>
            <w:r>
              <w:rPr>
                <w:i/>
              </w:rPr>
              <w:t>trustee</w:t>
            </w:r>
            <w:r>
              <w:t xml:space="preserve"> should be understood as described and consistent with Article 2 of the </w:t>
            </w:r>
            <w:r>
              <w:rPr>
                <w:i/>
              </w:rPr>
              <w:t>Hague Convention on the law applicable to trust and their recognition</w:t>
            </w:r>
            <w:r>
              <w:rPr>
                <w:vertAlign w:val="superscript"/>
              </w:rPr>
              <w:t>1</w:t>
            </w:r>
            <w:r>
              <w:t>.</w:t>
            </w:r>
          </w:p>
          <w:p w:rsidR="00631CE5" w:rsidRDefault="00631CE5">
            <w:pPr>
              <w:pStyle w:val="TableColumn"/>
              <w:jc w:val="left"/>
            </w:pPr>
          </w:p>
          <w:p w:rsidR="00631CE5" w:rsidRDefault="00631CE5">
            <w:pPr>
              <w:pStyle w:val="TableColumn"/>
              <w:jc w:val="left"/>
            </w:pPr>
            <w:r>
              <w:t xml:space="preserve">Trustees may be professional (e.g. depending on the jurisdiction, a lawyer or trust company) if they are paid to act as a trustee in the course of their business, or </w:t>
            </w:r>
            <w:r>
              <w:rPr>
                <w:color w:val="FF0000"/>
                <w:u w:val="single"/>
              </w:rPr>
              <w:t>a</w:t>
            </w:r>
            <w:r>
              <w:rPr>
                <w:color w:val="FF0000"/>
              </w:rPr>
              <w:t xml:space="preserve"> </w:t>
            </w:r>
            <w:r>
              <w:t>non-professional</w:t>
            </w:r>
            <w:r>
              <w:rPr>
                <w:color w:val="FF0000"/>
                <w:u w:val="single"/>
              </w:rPr>
              <w:t xml:space="preserve"> who is not in the business of being a trustee </w:t>
            </w:r>
            <w:r>
              <w:t xml:space="preserve">(e.g. a person acting </w:t>
            </w:r>
            <w:r>
              <w:rPr>
                <w:strike/>
                <w:color w:val="FF0000"/>
              </w:rPr>
              <w:t>without reward</w:t>
            </w:r>
            <w:r>
              <w:rPr>
                <w:color w:val="FF0000"/>
              </w:rPr>
              <w:t xml:space="preserve"> </w:t>
            </w:r>
            <w:r>
              <w:t>on behalf of a family).</w:t>
            </w:r>
          </w:p>
          <w:p w:rsidR="00631CE5" w:rsidRDefault="00631CE5">
            <w:pPr>
              <w:pStyle w:val="TableColumn"/>
              <w:jc w:val="left"/>
            </w:pPr>
          </w:p>
          <w:p w:rsidR="00631CE5" w:rsidRDefault="00631CE5">
            <w:pPr>
              <w:pStyle w:val="TableColumn"/>
              <w:jc w:val="left"/>
            </w:pPr>
            <w:r>
              <w:rPr>
                <w:vertAlign w:val="superscript"/>
              </w:rPr>
              <w:t xml:space="preserve">1 </w:t>
            </w:r>
            <w:r>
              <w:t>– Article 2 of the Hague Convention reads as follows:</w:t>
            </w:r>
          </w:p>
          <w:p w:rsidR="00631CE5" w:rsidRDefault="00631CE5">
            <w:pPr>
              <w:pStyle w:val="TableColumn"/>
              <w:jc w:val="left"/>
              <w:rPr>
                <w:i/>
              </w:rPr>
            </w:pPr>
            <w:r>
              <w:rPr>
                <w:i/>
              </w:rPr>
              <w:t xml:space="preserve"> For the purposes of this Convention, the term “trust” refers to the legal relationships created – inter-</w:t>
            </w:r>
            <w:proofErr w:type="spellStart"/>
            <w:r>
              <w:rPr>
                <w:i/>
              </w:rPr>
              <w:t>vivos</w:t>
            </w:r>
            <w:proofErr w:type="spellEnd"/>
            <w:r>
              <w:rPr>
                <w:i/>
              </w:rPr>
              <w:t xml:space="preserve"> or on death – by a person, the settlor, when assets have been placed under the control of a trustee for the benefit of a beneficiary or for a specified purpose.</w:t>
            </w:r>
          </w:p>
          <w:p w:rsidR="00631CE5" w:rsidRDefault="00631CE5">
            <w:pPr>
              <w:pStyle w:val="TableColumn"/>
              <w:jc w:val="left"/>
              <w:rPr>
                <w:i/>
              </w:rPr>
            </w:pPr>
          </w:p>
          <w:p w:rsidR="00631CE5" w:rsidRDefault="00631CE5">
            <w:pPr>
              <w:pStyle w:val="TableColumn"/>
              <w:jc w:val="left"/>
              <w:rPr>
                <w:i/>
              </w:rPr>
            </w:pPr>
            <w:r>
              <w:rPr>
                <w:i/>
              </w:rPr>
              <w:t xml:space="preserve"> A trust has the following characteristics –</w:t>
            </w:r>
          </w:p>
          <w:p w:rsidR="00631CE5" w:rsidRDefault="00631CE5">
            <w:pPr>
              <w:pStyle w:val="TableColumn"/>
              <w:jc w:val="left"/>
              <w:rPr>
                <w:i/>
              </w:rPr>
            </w:pPr>
            <w:r>
              <w:rPr>
                <w:i/>
              </w:rPr>
              <w:t>a) the assets constitute a separate fund and are not a part of the trustee’s own estate;</w:t>
            </w:r>
          </w:p>
          <w:p w:rsidR="00631CE5" w:rsidRDefault="00631CE5">
            <w:pPr>
              <w:pStyle w:val="TableColumn"/>
              <w:jc w:val="left"/>
              <w:rPr>
                <w:i/>
              </w:rPr>
            </w:pPr>
            <w:r>
              <w:rPr>
                <w:i/>
              </w:rPr>
              <w:t>b) title to the trust assets stands in the name of the trustee or in the name of another person on behalf of the trustee;</w:t>
            </w:r>
          </w:p>
          <w:p w:rsidR="00631CE5" w:rsidRDefault="00631CE5">
            <w:pPr>
              <w:pStyle w:val="TableColumn"/>
              <w:jc w:val="left"/>
              <w:rPr>
                <w:i/>
              </w:rPr>
            </w:pPr>
            <w:r>
              <w:rPr>
                <w:i/>
              </w:rPr>
              <w:t xml:space="preserve">c) </w:t>
            </w:r>
            <w:proofErr w:type="gramStart"/>
            <w:r>
              <w:rPr>
                <w:i/>
              </w:rPr>
              <w:t>the</w:t>
            </w:r>
            <w:proofErr w:type="gramEnd"/>
            <w:r>
              <w:rPr>
                <w:i/>
              </w:rPr>
              <w:t xml:space="preserve"> trustee has the power and the duty, in respect of which he is accountable, to manage, employ or dispose of the assets in accordance with the terms of the trust and the special duties imposed upon him by law. </w:t>
            </w:r>
          </w:p>
          <w:p w:rsidR="00631CE5" w:rsidRDefault="00631CE5">
            <w:pPr>
              <w:pStyle w:val="TableColumn"/>
              <w:jc w:val="left"/>
            </w:pPr>
            <w:r>
              <w:rPr>
                <w:i/>
              </w:rPr>
              <w:t>The reservation by the settlor of certain rights and powers, and the fact that the trustee may himself have rights as a beneficiary, are not necessarily inconsistent with the existence of a trust.</w:t>
            </w:r>
          </w:p>
        </w:tc>
      </w:tr>
    </w:tbl>
    <w:p w:rsidR="00631CE5" w:rsidRDefault="00631CE5"/>
    <w:p w:rsidR="00631CE5" w:rsidRDefault="00631CE5">
      <w:pPr>
        <w:pStyle w:val="Para0"/>
        <w:ind w:left="0"/>
      </w:pPr>
    </w:p>
    <w:p w:rsidR="00631CE5" w:rsidRPr="00631CE5" w:rsidRDefault="00631CE5" w:rsidP="00631CE5">
      <w:pPr>
        <w:ind w:firstLine="720"/>
      </w:pPr>
    </w:p>
    <w:sectPr w:rsidR="00631CE5" w:rsidRPr="00631CE5" w:rsidSect="00B046A8">
      <w:headerReference w:type="even" r:id="rId9"/>
      <w:headerReference w:type="default" r:id="rId10"/>
      <w:footerReference w:type="even" r:id="rId11"/>
      <w:footerReference w:type="default" r:id="rId12"/>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02E" w:rsidRDefault="0035502E" w:rsidP="00CC3749"/>
  </w:endnote>
  <w:endnote w:type="continuationSeparator" w:id="0">
    <w:p w:rsidR="0035502E" w:rsidRPr="00CF4424" w:rsidRDefault="0035502E" w:rsidP="00CF4424">
      <w:pPr>
        <w:pStyle w:val="Footer"/>
        <w:jc w:val="both"/>
      </w:pPr>
    </w:p>
  </w:endnote>
  <w:endnote w:type="continuationNotice" w:id="1">
    <w:p w:rsidR="0035502E" w:rsidRDefault="00355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modern"/>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tLink">
    <w:panose1 w:val="02000000000000000000"/>
    <w:charset w:val="00"/>
    <w:family w:val="auto"/>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217002386"/>
      <w:lock w:val="sdtLocked"/>
      <w:showingPlcHdr/>
    </w:sdtPr>
    <w:sdtEndPr/>
    <w:sdtContent>
      <w:p w:rsidR="00B046A8" w:rsidRDefault="00FF6822" w:rsidP="004E100F">
        <w:pPr>
          <w:pStyle w:val="Footer"/>
          <w:jc w:val="right"/>
        </w:pPr>
        <w:r>
          <w:t xml:space="preserve">     </w:t>
        </w:r>
      </w:p>
    </w:sdtContent>
  </w:sdt>
  <w:sdt>
    <w:sdtPr>
      <w:alias w:val="Classification"/>
      <w:tag w:val="txtHeaderClassif"/>
      <w:id w:val="-1918931641"/>
      <w:lock w:val="sdtLocked"/>
      <w:showingPlcHdr/>
    </w:sdtPr>
    <w:sdtEndPr/>
    <w:sdtContent>
      <w:p w:rsidR="00B046A8" w:rsidRDefault="00FF6822" w:rsidP="004E100F">
        <w:pPr>
          <w:pStyle w:val="FooterClassification"/>
          <w:jc w:val="left"/>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884096409"/>
      <w:lock w:val="sdtLocked"/>
      <w:showingPlcHdr/>
    </w:sdtPr>
    <w:sdtEndPr/>
    <w:sdtContent>
      <w:p w:rsidR="00B046A8" w:rsidRPr="00FD7BD8" w:rsidRDefault="00FF6822" w:rsidP="004E100F">
        <w:pPr>
          <w:pStyle w:val="Footer"/>
          <w:jc w:val="left"/>
          <w:rPr>
            <w:caps w:val="0"/>
            <w:szCs w:val="16"/>
          </w:rPr>
        </w:pPr>
        <w:r>
          <w:t xml:space="preserve">     </w:t>
        </w:r>
      </w:p>
    </w:sdtContent>
  </w:sdt>
  <w:sdt>
    <w:sdtPr>
      <w:alias w:val="Classification"/>
      <w:tag w:val="txtHeaderClassif"/>
      <w:id w:val="-311407045"/>
      <w:lock w:val="sdtLocked"/>
      <w:showingPlcHdr/>
    </w:sdtPr>
    <w:sdtEndPr/>
    <w:sdtContent>
      <w:p w:rsidR="00B046A8" w:rsidRPr="00FD7BD8" w:rsidRDefault="00FF6822" w:rsidP="004E100F">
        <w:pPr>
          <w:pStyle w:val="FooterClassification"/>
          <w:rPr>
            <w:szCs w:val="16"/>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02E" w:rsidRDefault="0035502E" w:rsidP="00CC3749">
      <w:r>
        <w:separator/>
      </w:r>
    </w:p>
  </w:footnote>
  <w:footnote w:type="continuationSeparator" w:id="0">
    <w:p w:rsidR="0035502E" w:rsidRDefault="0035502E" w:rsidP="00CC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A8" w:rsidRDefault="003E0142" w:rsidP="004E100F">
    <w:pPr>
      <w:pStyle w:val="Header"/>
    </w:pPr>
    <w:sdt>
      <w:sdtPr>
        <w:rPr>
          <w:rStyle w:val="PageNumber"/>
        </w:rPr>
        <w:alias w:val="Page Number"/>
        <w:tag w:val="TxtPageNumber"/>
        <w:id w:val="-1835755985"/>
        <w:lock w:val="sdtLocked"/>
      </w:sdtPr>
      <w:sdtEndPr>
        <w:rPr>
          <w:rStyle w:val="DefaultParagraphFont"/>
          <w:rFonts w:ascii="Times New Roman" w:hAnsi="Times New Roman"/>
          <w:b w:val="0"/>
        </w:rPr>
      </w:sdtEndPr>
      <w:sdtContent>
        <w:r w:rsidR="00B046A8" w:rsidRPr="00CC3749">
          <w:rPr>
            <w:rStyle w:val="PageNumber"/>
          </w:rPr>
          <w:fldChar w:fldCharType="begin"/>
        </w:r>
        <w:r w:rsidR="00B046A8" w:rsidRPr="00CC3749">
          <w:rPr>
            <w:rStyle w:val="PageNumber"/>
          </w:rPr>
          <w:instrText xml:space="preserve"> PAGE   \* MERGEFORMAT </w:instrText>
        </w:r>
        <w:r w:rsidR="00B046A8" w:rsidRPr="00CC3749">
          <w:rPr>
            <w:rStyle w:val="PageNumber"/>
          </w:rPr>
          <w:fldChar w:fldCharType="separate"/>
        </w:r>
        <w:r>
          <w:rPr>
            <w:rStyle w:val="PageNumber"/>
            <w:noProof/>
          </w:rPr>
          <w:t>2</w:t>
        </w:r>
        <w:r w:rsidR="00B046A8" w:rsidRPr="00CC3749">
          <w:rPr>
            <w:rStyle w:val="PageNumber"/>
            <w:noProof/>
          </w:rPr>
          <w:fldChar w:fldCharType="end"/>
        </w:r>
      </w:sdtContent>
    </w:sdt>
    <w:r w:rsidR="00B046A8">
      <w:t xml:space="preserve"> </w:t>
    </w:r>
    <w:r w:rsidR="00B046A8">
      <w:sym w:font="Symbol" w:char="F07C"/>
    </w:r>
    <w:r w:rsidR="00B046A8">
      <w:t xml:space="preserve"> </w:t>
    </w:r>
    <w:sdt>
      <w:sdtPr>
        <w:rPr>
          <w:rStyle w:val="HeaderTitle"/>
        </w:rPr>
        <w:alias w:val="Cote/Chapter"/>
        <w:tag w:val="txtHeaderValue"/>
        <w:id w:val="-308635562"/>
        <w:lock w:val="sdtLocked"/>
        <w:showingPlcHdr/>
      </w:sdtPr>
      <w:sdtEndPr>
        <w:rPr>
          <w:rStyle w:val="DefaultParagraphFont"/>
          <w:rFonts w:ascii="Times New Roman" w:hAnsi="Times New Roman"/>
          <w:caps w:val="0"/>
          <w:sz w:val="22"/>
        </w:rPr>
      </w:sdtEndPr>
      <w:sdtContent>
        <w:r w:rsidR="00FF6822">
          <w:rPr>
            <w:rStyle w:val="HeaderTitle"/>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6A8" w:rsidRDefault="003E0142" w:rsidP="004E100F">
    <w:pPr>
      <w:pStyle w:val="Header"/>
      <w:jc w:val="right"/>
    </w:pPr>
    <w:sdt>
      <w:sdtPr>
        <w:rPr>
          <w:rStyle w:val="HeaderTitle"/>
        </w:rPr>
        <w:alias w:val="Cote/Chapter"/>
        <w:tag w:val="txtHeaderValue"/>
        <w:id w:val="-244348000"/>
        <w:lock w:val="sdtLocked"/>
      </w:sdtPr>
      <w:sdtEndPr>
        <w:rPr>
          <w:rStyle w:val="DefaultParagraphFont"/>
          <w:rFonts w:ascii="Times New Roman" w:hAnsi="Times New Roman"/>
          <w:caps w:val="0"/>
          <w:sz w:val="22"/>
        </w:rPr>
      </w:sdtEndPr>
      <w:sdtContent/>
    </w:sdt>
    <w:r w:rsidR="00B046A8">
      <w:rPr>
        <w:rStyle w:val="PageNumber"/>
      </w:rPr>
      <w:t xml:space="preserve"> </w:t>
    </w:r>
    <w:r w:rsidR="00B046A8">
      <w:rPr>
        <w:rStyle w:val="PageNumber"/>
      </w:rPr>
      <w:sym w:font="Symbol" w:char="F07C"/>
    </w:r>
    <w:r w:rsidR="00B046A8">
      <w:rPr>
        <w:rStyle w:val="PageNumber"/>
      </w:rPr>
      <w:t xml:space="preserve"> </w:t>
    </w:r>
    <w:sdt>
      <w:sdtPr>
        <w:rPr>
          <w:rStyle w:val="PageNumber"/>
        </w:rPr>
        <w:alias w:val="Page Number"/>
        <w:tag w:val="TxtPageNumber"/>
        <w:id w:val="1076251128"/>
        <w:lock w:val="sdtLocked"/>
      </w:sdtPr>
      <w:sdtEndPr>
        <w:rPr>
          <w:rStyle w:val="DefaultParagraphFont"/>
          <w:rFonts w:ascii="Times New Roman" w:hAnsi="Times New Roman"/>
          <w:b w:val="0"/>
        </w:rPr>
      </w:sdtEndPr>
      <w:sdtContent>
        <w:r w:rsidR="00B046A8" w:rsidRPr="00CC3749">
          <w:rPr>
            <w:rStyle w:val="PageNumber"/>
          </w:rPr>
          <w:fldChar w:fldCharType="begin"/>
        </w:r>
        <w:r w:rsidR="00B046A8" w:rsidRPr="00CC3749">
          <w:rPr>
            <w:rStyle w:val="PageNumber"/>
          </w:rPr>
          <w:instrText xml:space="preserve"> PAGE   \* MERGEFORMAT </w:instrText>
        </w:r>
        <w:r w:rsidR="00B046A8" w:rsidRPr="00CC3749">
          <w:rPr>
            <w:rStyle w:val="PageNumber"/>
          </w:rPr>
          <w:fldChar w:fldCharType="separate"/>
        </w:r>
        <w:r>
          <w:rPr>
            <w:rStyle w:val="PageNumber"/>
            <w:noProof/>
          </w:rPr>
          <w:t>1</w:t>
        </w:r>
        <w:r w:rsidR="00B046A8"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D35"/>
    <w:multiLevelType w:val="hybridMultilevel"/>
    <w:tmpl w:val="FA787168"/>
    <w:lvl w:ilvl="0" w:tplc="A9907710">
      <w:start w:val="1"/>
      <w:numFmt w:val="decimal"/>
      <w:lvlText w:val="%1."/>
      <w:lvlJc w:val="left"/>
      <w:pPr>
        <w:ind w:left="1211" w:hanging="360"/>
      </w:pPr>
      <w:rPr>
        <w:rFonts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4" w15:restartNumberingAfterBreak="0">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5" w15:restartNumberingAfterBreak="0">
    <w:nsid w:val="257410F6"/>
    <w:multiLevelType w:val="hybridMultilevel"/>
    <w:tmpl w:val="BFD00B28"/>
    <w:styleLink w:val="ImportedStyle4"/>
    <w:lvl w:ilvl="0" w:tplc="5C92A460">
      <w:start w:val="1"/>
      <w:numFmt w:val="decimal"/>
      <w:lvlText w:val="%1."/>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6F36F628">
      <w:start w:val="1"/>
      <w:numFmt w:val="decimal"/>
      <w:lvlText w:val="%2."/>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2" w:tplc="EEE2E48E">
      <w:start w:val="1"/>
      <w:numFmt w:val="decimal"/>
      <w:lvlText w:val="%3."/>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3" w:tplc="B3B81E5A">
      <w:start w:val="1"/>
      <w:numFmt w:val="decimal"/>
      <w:lvlText w:val="%4."/>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4" w:tplc="B096D942">
      <w:start w:val="1"/>
      <w:numFmt w:val="decimal"/>
      <w:lvlText w:val="%5."/>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5" w:tplc="403225AC">
      <w:start w:val="1"/>
      <w:numFmt w:val="decimal"/>
      <w:lvlText w:val="%6."/>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tplc="9CF6273E">
      <w:start w:val="1"/>
      <w:numFmt w:val="decimal"/>
      <w:lvlText w:val="%7."/>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7" w:tplc="CF823D4E">
      <w:start w:val="1"/>
      <w:numFmt w:val="decimal"/>
      <w:lvlText w:val="%8."/>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8" w:tplc="35020968">
      <w:start w:val="1"/>
      <w:numFmt w:val="decimal"/>
      <w:lvlText w:val="%9."/>
      <w:lvlJc w:val="left"/>
      <w:pPr>
        <w:tabs>
          <w:tab w:val="left" w:pos="680"/>
          <w:tab w:val="left" w:pos="720"/>
          <w:tab w:val="num" w:pos="1361"/>
        </w:tabs>
        <w:ind w:left="681" w:hanging="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6" w15:restartNumberingAfterBreak="0">
    <w:nsid w:val="2C9176BB"/>
    <w:multiLevelType w:val="hybridMultilevel"/>
    <w:tmpl w:val="5150E400"/>
    <w:lvl w:ilvl="0" w:tplc="3F2A8D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765B4"/>
    <w:multiLevelType w:val="hybridMultilevel"/>
    <w:tmpl w:val="0078624A"/>
    <w:lvl w:ilvl="0" w:tplc="2F4E1014">
      <w:start w:val="1"/>
      <w:numFmt w:val="lowerRoman"/>
      <w:lvlText w:val="%1."/>
      <w:lvlJc w:val="righ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71250"/>
    <w:multiLevelType w:val="hybridMultilevel"/>
    <w:tmpl w:val="82ECF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20B75"/>
    <w:multiLevelType w:val="multilevel"/>
    <w:tmpl w:val="13A85ADA"/>
    <w:lvl w:ilvl="0">
      <w:start w:val="1"/>
      <w:numFmt w:val="decimal"/>
      <w:pStyle w:val="Heading1"/>
      <w:suff w:val="space"/>
      <w:lvlText w:val="%1."/>
      <w:lvlJc w:val="left"/>
      <w:pPr>
        <w:ind w:left="0" w:firstLine="0"/>
      </w:pPr>
      <w:rPr>
        <w:rFonts w:hint="default"/>
        <w:b/>
        <w:bCs/>
        <w:color w:val="auto"/>
      </w:rPr>
    </w:lvl>
    <w:lvl w:ilvl="1">
      <w:start w:val="1"/>
      <w:numFmt w:val="decimal"/>
      <w:pStyle w:val="Heading2"/>
      <w:suff w:val="space"/>
      <w:lvlText w:val="%1.%2."/>
      <w:lvlJc w:val="left"/>
      <w:pPr>
        <w:ind w:left="0" w:firstLine="0"/>
      </w:pPr>
      <w:rPr>
        <w:rFonts w:hint="default"/>
        <w:i w:val="0"/>
        <w:iCs w:val="0"/>
        <w:color w:val="auto"/>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11" w15:restartNumberingAfterBreak="0">
    <w:nsid w:val="4DAF0A64"/>
    <w:multiLevelType w:val="hybridMultilevel"/>
    <w:tmpl w:val="E3CC917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54EC250C"/>
    <w:multiLevelType w:val="hybridMultilevel"/>
    <w:tmpl w:val="D0AC0476"/>
    <w:lvl w:ilvl="0" w:tplc="2F4E1014">
      <w:start w:val="1"/>
      <w:numFmt w:val="lowerRoman"/>
      <w:lvlText w:val="%1."/>
      <w:lvlJc w:val="righ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10"/>
  </w:num>
  <w:num w:numId="5">
    <w:abstractNumId w:val="3"/>
  </w:num>
  <w:num w:numId="6">
    <w:abstractNumId w:val="12"/>
  </w:num>
  <w:num w:numId="7">
    <w:abstractNumId w:val="4"/>
  </w:num>
  <w:num w:numId="8">
    <w:abstractNumId w:val="5"/>
  </w:num>
  <w:num w:numId="9">
    <w:abstractNumId w:val="7"/>
  </w:num>
  <w:num w:numId="10">
    <w:abstractNumId w:val="11"/>
  </w:num>
  <w:num w:numId="11">
    <w:abstractNumId w:val="6"/>
  </w:num>
  <w:num w:numId="12">
    <w:abstractNumId w:val="9"/>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3"/>
  </w:num>
  <w:num w:numId="22">
    <w:abstractNumId w:val="12"/>
  </w:num>
  <w:num w:numId="23">
    <w:abstractNumId w:val="4"/>
  </w:num>
  <w:num w:numId="24">
    <w:abstractNumId w:val="13"/>
  </w:num>
  <w:num w:numId="25">
    <w:abstractNumId w:val="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3"/>
  </w:num>
  <w:num w:numId="35">
    <w:abstractNumId w:val="12"/>
  </w:num>
  <w:num w:numId="36">
    <w:abstractNumId w:val="4"/>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3"/>
  </w:num>
  <w:num w:numId="46">
    <w:abstractNumId w:val="12"/>
  </w:num>
  <w:num w:numId="47">
    <w:abstractNumId w:val="4"/>
  </w:num>
  <w:num w:numId="4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5"/>
  <w:removePersonalInformation/>
  <w:removeDateAndTim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tInPropertywdPropertyAuthor" w:val="Sara Gouveia"/>
    <w:docVar w:name="BuiltInPropertywdPropertySubject" w:val=" "/>
    <w:docVar w:name="OECDDocumentClassification" w:val="For Official Use"/>
    <w:docVar w:name="OECDDocumentCommittee" w:val="Financial Action Task Force"/>
    <w:docVar w:name="OECDDocumentContactInfo" w:val="Tom NEYLAN, Tel.: +(33-1) 45 24 98 53, Tom.NEYLAN@fatf-gafi.org_x000d_Ashish KUMAR, Tel.: +(33-1)  85 55 60 02, Ashish.KUMAR@fatf-gafi.org"/>
    <w:docVar w:name="OECDDocumentCote" w:val="FATF/PLEN(2022)55"/>
    <w:docVar w:name="OecdDocumentCoteLangHash" w:val="CB5A94ACF041ADE683C2A300189BB1452A79248D740E15E97885D160CB4148D4"/>
    <w:docVar w:name="OECDDocumentDocumentAbstract" w:val="Issue: This is the PDG Co-Chairs’ report for Plenary discussion. _x000d__x000d_FATF-XXXIII _x000d_The confidentiality of FATF documents, their protection, and their non-disclosure are crucial to the FATF being able to fulfil its mandate. FATF meetings – in line with the organisation’s mandate to combat money-laundering, terrorist financing, and the financing of proliferation of weapons of mass destruction and the consequent nature of its work and discussions – are private and confidential. The documents, discussions and correspondence relating to them, are shared with delegates in strict confidence, for use solely in accordance with the FATF mandate, and should be protected as such and not disclosed. By downloading the documents referenced in this document and participating in the discussions related to them, you agree to respect the confidentiality of the information shared and to take all appropriate measures to ensure the documents, discussions and correspondence are not disclosed to any third parties."/>
    <w:docVar w:name="OECDDocumentDocumentLanguage" w:val="English"/>
    <w:docVar w:name="OECDDocumentHasBeenSubmitted" w:val="False"/>
    <w:docVar w:name="OECDDocumentId" w:val="1F3810C7EF8F965F72298D37E0CBE177B67D3C9FD12565F748F007539C8A16D1"/>
    <w:docVar w:name="OECDDocumentJobTicket" w:val="JT03505442"/>
    <w:docVar w:name="OECDDocumentJobTicketHash" w:val="F04120170311933681C7D4E8E5E3B3CE2A58E4AF4F82110B97653EB94CA23538"/>
    <w:docVar w:name="OECDDocumentOriginalLanguage" w:val="English"/>
    <w:docVar w:name="OECDDocumentSubmissionAuthor" w:val="GOUVEIA Sara"/>
    <w:docVar w:name="OECDDocumentValidationDate" w:val="10/19/2022 14:55:55"/>
    <w:docVar w:name="OECDDocumentValidationErrors" w:val="0"/>
    <w:docVar w:name="OECDDocumentValidationWarnings" w:val="0"/>
    <w:docVar w:name="OECDDocumentValidationWordCount" w:val="7550"/>
    <w:docVar w:name="OECDDocumentWorkingParty" w:val="Plenary of the Financial Action Task Force"/>
    <w:docVar w:name="OECDTemplateLocation" w:val="W:\Office2016\Workgroup Templates"/>
    <w:docVar w:name="OECDTemplateName" w:val="ONE Author ODPub.dotx"/>
    <w:docVar w:name="OECDTemplateVersion" w:val="3.22"/>
    <w:docVar w:name="OECDTemplateVersionOriginal" w:val="3.22"/>
  </w:docVars>
  <w:rsids>
    <w:rsidRoot w:val="004F4185"/>
    <w:rsid w:val="000037D9"/>
    <w:rsid w:val="00004DAB"/>
    <w:rsid w:val="000064D6"/>
    <w:rsid w:val="00017230"/>
    <w:rsid w:val="00024178"/>
    <w:rsid w:val="00027D14"/>
    <w:rsid w:val="00030E8C"/>
    <w:rsid w:val="000338B2"/>
    <w:rsid w:val="00033E50"/>
    <w:rsid w:val="0004402D"/>
    <w:rsid w:val="00044517"/>
    <w:rsid w:val="000454E8"/>
    <w:rsid w:val="0005102C"/>
    <w:rsid w:val="00052575"/>
    <w:rsid w:val="00052588"/>
    <w:rsid w:val="000542B8"/>
    <w:rsid w:val="00055124"/>
    <w:rsid w:val="00055536"/>
    <w:rsid w:val="00064C7A"/>
    <w:rsid w:val="0007759B"/>
    <w:rsid w:val="00081ED4"/>
    <w:rsid w:val="00085197"/>
    <w:rsid w:val="000A5133"/>
    <w:rsid w:val="000A655C"/>
    <w:rsid w:val="000A69AD"/>
    <w:rsid w:val="000B03E2"/>
    <w:rsid w:val="000B74AE"/>
    <w:rsid w:val="000B7665"/>
    <w:rsid w:val="000B7B86"/>
    <w:rsid w:val="000C0FE0"/>
    <w:rsid w:val="000C1DF4"/>
    <w:rsid w:val="000D34F9"/>
    <w:rsid w:val="000D4550"/>
    <w:rsid w:val="000E0DC7"/>
    <w:rsid w:val="000E2815"/>
    <w:rsid w:val="000E5F57"/>
    <w:rsid w:val="000F040F"/>
    <w:rsid w:val="000F68AF"/>
    <w:rsid w:val="00101323"/>
    <w:rsid w:val="00111592"/>
    <w:rsid w:val="00111A19"/>
    <w:rsid w:val="0011701E"/>
    <w:rsid w:val="00130B1E"/>
    <w:rsid w:val="001313D9"/>
    <w:rsid w:val="00132E78"/>
    <w:rsid w:val="00146063"/>
    <w:rsid w:val="0015065F"/>
    <w:rsid w:val="00151AE5"/>
    <w:rsid w:val="001535B9"/>
    <w:rsid w:val="00157A58"/>
    <w:rsid w:val="00160B10"/>
    <w:rsid w:val="00160D78"/>
    <w:rsid w:val="00170C55"/>
    <w:rsid w:val="00173418"/>
    <w:rsid w:val="00183469"/>
    <w:rsid w:val="001858DD"/>
    <w:rsid w:val="00192BE9"/>
    <w:rsid w:val="001931F5"/>
    <w:rsid w:val="001933C5"/>
    <w:rsid w:val="00196642"/>
    <w:rsid w:val="001B2144"/>
    <w:rsid w:val="001B2FAD"/>
    <w:rsid w:val="001B4E01"/>
    <w:rsid w:val="001C0B13"/>
    <w:rsid w:val="001C1F73"/>
    <w:rsid w:val="001C3D7B"/>
    <w:rsid w:val="001C4E4F"/>
    <w:rsid w:val="001C617B"/>
    <w:rsid w:val="001D3952"/>
    <w:rsid w:val="001E1F22"/>
    <w:rsid w:val="001F11B3"/>
    <w:rsid w:val="001F18A8"/>
    <w:rsid w:val="001F63FD"/>
    <w:rsid w:val="001F6920"/>
    <w:rsid w:val="001F76B3"/>
    <w:rsid w:val="00201266"/>
    <w:rsid w:val="00202409"/>
    <w:rsid w:val="00203113"/>
    <w:rsid w:val="00203CC1"/>
    <w:rsid w:val="00210A5D"/>
    <w:rsid w:val="00224AC3"/>
    <w:rsid w:val="0022556E"/>
    <w:rsid w:val="00237A1B"/>
    <w:rsid w:val="0025481A"/>
    <w:rsid w:val="002565E1"/>
    <w:rsid w:val="00263627"/>
    <w:rsid w:val="00275477"/>
    <w:rsid w:val="002818F4"/>
    <w:rsid w:val="00287ED5"/>
    <w:rsid w:val="002901D6"/>
    <w:rsid w:val="00296CE1"/>
    <w:rsid w:val="002A2091"/>
    <w:rsid w:val="002A226D"/>
    <w:rsid w:val="002A6B56"/>
    <w:rsid w:val="002B353F"/>
    <w:rsid w:val="002C1DD6"/>
    <w:rsid w:val="002D76E0"/>
    <w:rsid w:val="002E0230"/>
    <w:rsid w:val="002E10B2"/>
    <w:rsid w:val="002E2261"/>
    <w:rsid w:val="002F3A06"/>
    <w:rsid w:val="002F605B"/>
    <w:rsid w:val="00303173"/>
    <w:rsid w:val="00305C43"/>
    <w:rsid w:val="00310601"/>
    <w:rsid w:val="00323108"/>
    <w:rsid w:val="00324483"/>
    <w:rsid w:val="00326CAE"/>
    <w:rsid w:val="003276FA"/>
    <w:rsid w:val="00333261"/>
    <w:rsid w:val="00337396"/>
    <w:rsid w:val="00347AA2"/>
    <w:rsid w:val="00350662"/>
    <w:rsid w:val="00350963"/>
    <w:rsid w:val="00350CCC"/>
    <w:rsid w:val="0035293B"/>
    <w:rsid w:val="0035302C"/>
    <w:rsid w:val="0035502E"/>
    <w:rsid w:val="003570CA"/>
    <w:rsid w:val="003578FC"/>
    <w:rsid w:val="00366BED"/>
    <w:rsid w:val="00372918"/>
    <w:rsid w:val="00375A7C"/>
    <w:rsid w:val="00376570"/>
    <w:rsid w:val="00381AB2"/>
    <w:rsid w:val="00386F03"/>
    <w:rsid w:val="003957E7"/>
    <w:rsid w:val="003A3A69"/>
    <w:rsid w:val="003A72FB"/>
    <w:rsid w:val="003B0FCE"/>
    <w:rsid w:val="003B2EF0"/>
    <w:rsid w:val="003B312C"/>
    <w:rsid w:val="003B42F8"/>
    <w:rsid w:val="003C4738"/>
    <w:rsid w:val="003C6E42"/>
    <w:rsid w:val="003D0071"/>
    <w:rsid w:val="003D0145"/>
    <w:rsid w:val="003D0D81"/>
    <w:rsid w:val="003D283F"/>
    <w:rsid w:val="003E0142"/>
    <w:rsid w:val="003E0362"/>
    <w:rsid w:val="003E2E5C"/>
    <w:rsid w:val="003E5BE5"/>
    <w:rsid w:val="003E6393"/>
    <w:rsid w:val="003E7235"/>
    <w:rsid w:val="003F3341"/>
    <w:rsid w:val="003F3E9F"/>
    <w:rsid w:val="004036CB"/>
    <w:rsid w:val="00403A1F"/>
    <w:rsid w:val="00404A52"/>
    <w:rsid w:val="00407712"/>
    <w:rsid w:val="004120ED"/>
    <w:rsid w:val="004230BA"/>
    <w:rsid w:val="004234CE"/>
    <w:rsid w:val="004243B4"/>
    <w:rsid w:val="004259A6"/>
    <w:rsid w:val="004348F1"/>
    <w:rsid w:val="00440FA5"/>
    <w:rsid w:val="00444C08"/>
    <w:rsid w:val="004529B7"/>
    <w:rsid w:val="00452DA0"/>
    <w:rsid w:val="00456142"/>
    <w:rsid w:val="00456E03"/>
    <w:rsid w:val="00461C3F"/>
    <w:rsid w:val="0046201C"/>
    <w:rsid w:val="004622CF"/>
    <w:rsid w:val="00462721"/>
    <w:rsid w:val="00464ED3"/>
    <w:rsid w:val="004661B2"/>
    <w:rsid w:val="00473FD0"/>
    <w:rsid w:val="004A00A8"/>
    <w:rsid w:val="004A117A"/>
    <w:rsid w:val="004A1A3F"/>
    <w:rsid w:val="004A1A7B"/>
    <w:rsid w:val="004A6F9B"/>
    <w:rsid w:val="004B163D"/>
    <w:rsid w:val="004B3675"/>
    <w:rsid w:val="004B7AEE"/>
    <w:rsid w:val="004B7B10"/>
    <w:rsid w:val="004C102F"/>
    <w:rsid w:val="004E100F"/>
    <w:rsid w:val="004E4993"/>
    <w:rsid w:val="004F1D9C"/>
    <w:rsid w:val="004F4185"/>
    <w:rsid w:val="004F644E"/>
    <w:rsid w:val="004F6BF2"/>
    <w:rsid w:val="004F6CB7"/>
    <w:rsid w:val="005011D9"/>
    <w:rsid w:val="00502163"/>
    <w:rsid w:val="00502342"/>
    <w:rsid w:val="005059C6"/>
    <w:rsid w:val="00510E93"/>
    <w:rsid w:val="00511263"/>
    <w:rsid w:val="00523806"/>
    <w:rsid w:val="00524708"/>
    <w:rsid w:val="00524825"/>
    <w:rsid w:val="0052749E"/>
    <w:rsid w:val="00532FB1"/>
    <w:rsid w:val="00535F2B"/>
    <w:rsid w:val="005360A8"/>
    <w:rsid w:val="005361EC"/>
    <w:rsid w:val="00543135"/>
    <w:rsid w:val="005527A6"/>
    <w:rsid w:val="0056606B"/>
    <w:rsid w:val="00567146"/>
    <w:rsid w:val="00575855"/>
    <w:rsid w:val="00576984"/>
    <w:rsid w:val="00582D40"/>
    <w:rsid w:val="00593D13"/>
    <w:rsid w:val="005A0A55"/>
    <w:rsid w:val="005A41B4"/>
    <w:rsid w:val="005A4A42"/>
    <w:rsid w:val="005A6B81"/>
    <w:rsid w:val="005B734D"/>
    <w:rsid w:val="005B7CA2"/>
    <w:rsid w:val="005D25FC"/>
    <w:rsid w:val="005D450E"/>
    <w:rsid w:val="005D5F8F"/>
    <w:rsid w:val="005D7D42"/>
    <w:rsid w:val="005E3782"/>
    <w:rsid w:val="00603681"/>
    <w:rsid w:val="0061216A"/>
    <w:rsid w:val="006128C8"/>
    <w:rsid w:val="006218BD"/>
    <w:rsid w:val="00622E0C"/>
    <w:rsid w:val="00625626"/>
    <w:rsid w:val="006304BF"/>
    <w:rsid w:val="00631CE5"/>
    <w:rsid w:val="00635AEE"/>
    <w:rsid w:val="00640529"/>
    <w:rsid w:val="00644510"/>
    <w:rsid w:val="00644FCE"/>
    <w:rsid w:val="00680162"/>
    <w:rsid w:val="0068361F"/>
    <w:rsid w:val="006A1139"/>
    <w:rsid w:val="006B38E2"/>
    <w:rsid w:val="006B4BAA"/>
    <w:rsid w:val="006B7345"/>
    <w:rsid w:val="006B7A61"/>
    <w:rsid w:val="006C35CC"/>
    <w:rsid w:val="006C7B61"/>
    <w:rsid w:val="006D1C15"/>
    <w:rsid w:val="006D2B23"/>
    <w:rsid w:val="006E50BA"/>
    <w:rsid w:val="006E5AA5"/>
    <w:rsid w:val="006F0A20"/>
    <w:rsid w:val="0070033F"/>
    <w:rsid w:val="00710E8C"/>
    <w:rsid w:val="00711F1B"/>
    <w:rsid w:val="00712B15"/>
    <w:rsid w:val="007135D0"/>
    <w:rsid w:val="00722339"/>
    <w:rsid w:val="00724820"/>
    <w:rsid w:val="0072513F"/>
    <w:rsid w:val="007306FA"/>
    <w:rsid w:val="007323ED"/>
    <w:rsid w:val="00733ED1"/>
    <w:rsid w:val="00734135"/>
    <w:rsid w:val="00735C39"/>
    <w:rsid w:val="00743058"/>
    <w:rsid w:val="00743381"/>
    <w:rsid w:val="00753095"/>
    <w:rsid w:val="00753EEE"/>
    <w:rsid w:val="00754C15"/>
    <w:rsid w:val="00757D43"/>
    <w:rsid w:val="007622EA"/>
    <w:rsid w:val="00762B89"/>
    <w:rsid w:val="007712AC"/>
    <w:rsid w:val="00771361"/>
    <w:rsid w:val="007728EB"/>
    <w:rsid w:val="007823FE"/>
    <w:rsid w:val="007836B4"/>
    <w:rsid w:val="00785A1E"/>
    <w:rsid w:val="00796525"/>
    <w:rsid w:val="007A76BA"/>
    <w:rsid w:val="007B1A88"/>
    <w:rsid w:val="007B31F6"/>
    <w:rsid w:val="007B32B0"/>
    <w:rsid w:val="007B64FE"/>
    <w:rsid w:val="007C3714"/>
    <w:rsid w:val="007C5CAD"/>
    <w:rsid w:val="007C6866"/>
    <w:rsid w:val="007D09AE"/>
    <w:rsid w:val="007D21CF"/>
    <w:rsid w:val="007D7784"/>
    <w:rsid w:val="007F41F9"/>
    <w:rsid w:val="00803F69"/>
    <w:rsid w:val="00804ACC"/>
    <w:rsid w:val="008127CA"/>
    <w:rsid w:val="008129C4"/>
    <w:rsid w:val="00814FD3"/>
    <w:rsid w:val="00816695"/>
    <w:rsid w:val="00820362"/>
    <w:rsid w:val="00821370"/>
    <w:rsid w:val="0082235F"/>
    <w:rsid w:val="008230ED"/>
    <w:rsid w:val="008232BC"/>
    <w:rsid w:val="00825BF9"/>
    <w:rsid w:val="00827FB5"/>
    <w:rsid w:val="00833FF5"/>
    <w:rsid w:val="00835614"/>
    <w:rsid w:val="008460B0"/>
    <w:rsid w:val="00846824"/>
    <w:rsid w:val="008542C2"/>
    <w:rsid w:val="008566CB"/>
    <w:rsid w:val="00857920"/>
    <w:rsid w:val="0086742E"/>
    <w:rsid w:val="008728E0"/>
    <w:rsid w:val="008757C6"/>
    <w:rsid w:val="00880E82"/>
    <w:rsid w:val="00882314"/>
    <w:rsid w:val="00895D73"/>
    <w:rsid w:val="008B5E8B"/>
    <w:rsid w:val="008B6A47"/>
    <w:rsid w:val="008C38B5"/>
    <w:rsid w:val="008C5973"/>
    <w:rsid w:val="008C7702"/>
    <w:rsid w:val="008E2C7C"/>
    <w:rsid w:val="008E2F6C"/>
    <w:rsid w:val="008F0F36"/>
    <w:rsid w:val="008F0F84"/>
    <w:rsid w:val="008F1437"/>
    <w:rsid w:val="008F632C"/>
    <w:rsid w:val="008F66D2"/>
    <w:rsid w:val="008F6F27"/>
    <w:rsid w:val="008F7A96"/>
    <w:rsid w:val="008F7B1F"/>
    <w:rsid w:val="00904F11"/>
    <w:rsid w:val="00907E59"/>
    <w:rsid w:val="009106FA"/>
    <w:rsid w:val="00916BDE"/>
    <w:rsid w:val="0092327D"/>
    <w:rsid w:val="009305C4"/>
    <w:rsid w:val="009321E4"/>
    <w:rsid w:val="0093281A"/>
    <w:rsid w:val="00943271"/>
    <w:rsid w:val="0094705D"/>
    <w:rsid w:val="00961C60"/>
    <w:rsid w:val="0096394A"/>
    <w:rsid w:val="0096519D"/>
    <w:rsid w:val="00966A58"/>
    <w:rsid w:val="0096728F"/>
    <w:rsid w:val="0097116C"/>
    <w:rsid w:val="00976D12"/>
    <w:rsid w:val="009811DE"/>
    <w:rsid w:val="00982C10"/>
    <w:rsid w:val="0098377F"/>
    <w:rsid w:val="009877F0"/>
    <w:rsid w:val="00991A9A"/>
    <w:rsid w:val="0099203B"/>
    <w:rsid w:val="00992AB5"/>
    <w:rsid w:val="009A22AE"/>
    <w:rsid w:val="009A3363"/>
    <w:rsid w:val="009A4284"/>
    <w:rsid w:val="009B36EC"/>
    <w:rsid w:val="009B3725"/>
    <w:rsid w:val="009B4679"/>
    <w:rsid w:val="009C532B"/>
    <w:rsid w:val="009C697D"/>
    <w:rsid w:val="009D0A30"/>
    <w:rsid w:val="009D0EC4"/>
    <w:rsid w:val="009D30C1"/>
    <w:rsid w:val="009D6989"/>
    <w:rsid w:val="009E05F9"/>
    <w:rsid w:val="009E1A99"/>
    <w:rsid w:val="009E3337"/>
    <w:rsid w:val="009E7C04"/>
    <w:rsid w:val="009F7287"/>
    <w:rsid w:val="00A01981"/>
    <w:rsid w:val="00A07625"/>
    <w:rsid w:val="00A104FC"/>
    <w:rsid w:val="00A1253E"/>
    <w:rsid w:val="00A12B7B"/>
    <w:rsid w:val="00A14DC4"/>
    <w:rsid w:val="00A1735A"/>
    <w:rsid w:val="00A20967"/>
    <w:rsid w:val="00A21E27"/>
    <w:rsid w:val="00A33D14"/>
    <w:rsid w:val="00A37D0A"/>
    <w:rsid w:val="00A40263"/>
    <w:rsid w:val="00A42716"/>
    <w:rsid w:val="00A506C1"/>
    <w:rsid w:val="00A61DC4"/>
    <w:rsid w:val="00A73BFF"/>
    <w:rsid w:val="00A74AFD"/>
    <w:rsid w:val="00A752EA"/>
    <w:rsid w:val="00A76883"/>
    <w:rsid w:val="00A8126B"/>
    <w:rsid w:val="00A81F07"/>
    <w:rsid w:val="00A92F3D"/>
    <w:rsid w:val="00A95B06"/>
    <w:rsid w:val="00A961E9"/>
    <w:rsid w:val="00AA591D"/>
    <w:rsid w:val="00AA7673"/>
    <w:rsid w:val="00AB34FF"/>
    <w:rsid w:val="00AB5A6F"/>
    <w:rsid w:val="00AC4AE2"/>
    <w:rsid w:val="00AC5E9B"/>
    <w:rsid w:val="00AC7B0C"/>
    <w:rsid w:val="00AD08D5"/>
    <w:rsid w:val="00AD15C4"/>
    <w:rsid w:val="00AD196B"/>
    <w:rsid w:val="00AD32A7"/>
    <w:rsid w:val="00AD373D"/>
    <w:rsid w:val="00AE48DF"/>
    <w:rsid w:val="00AE5FED"/>
    <w:rsid w:val="00B0250B"/>
    <w:rsid w:val="00B046A8"/>
    <w:rsid w:val="00B06D82"/>
    <w:rsid w:val="00B11E2C"/>
    <w:rsid w:val="00B12F75"/>
    <w:rsid w:val="00B16E93"/>
    <w:rsid w:val="00B21051"/>
    <w:rsid w:val="00B34036"/>
    <w:rsid w:val="00B363EB"/>
    <w:rsid w:val="00B46C8D"/>
    <w:rsid w:val="00B66B2E"/>
    <w:rsid w:val="00B67859"/>
    <w:rsid w:val="00B720F6"/>
    <w:rsid w:val="00B7351B"/>
    <w:rsid w:val="00BA01C3"/>
    <w:rsid w:val="00BA1ADD"/>
    <w:rsid w:val="00BA28FD"/>
    <w:rsid w:val="00BD4F7D"/>
    <w:rsid w:val="00BD584D"/>
    <w:rsid w:val="00BE268B"/>
    <w:rsid w:val="00BF1697"/>
    <w:rsid w:val="00BF53D8"/>
    <w:rsid w:val="00BF773A"/>
    <w:rsid w:val="00C0190E"/>
    <w:rsid w:val="00C03067"/>
    <w:rsid w:val="00C036D7"/>
    <w:rsid w:val="00C11729"/>
    <w:rsid w:val="00C24704"/>
    <w:rsid w:val="00C26DD0"/>
    <w:rsid w:val="00C3172F"/>
    <w:rsid w:val="00C3513F"/>
    <w:rsid w:val="00C40110"/>
    <w:rsid w:val="00C43213"/>
    <w:rsid w:val="00C45E14"/>
    <w:rsid w:val="00C5382F"/>
    <w:rsid w:val="00C549BA"/>
    <w:rsid w:val="00C611FD"/>
    <w:rsid w:val="00C6171E"/>
    <w:rsid w:val="00C710A7"/>
    <w:rsid w:val="00C71392"/>
    <w:rsid w:val="00C732F4"/>
    <w:rsid w:val="00C77599"/>
    <w:rsid w:val="00C83CC5"/>
    <w:rsid w:val="00C9339D"/>
    <w:rsid w:val="00CA10B3"/>
    <w:rsid w:val="00CA1A65"/>
    <w:rsid w:val="00CA2765"/>
    <w:rsid w:val="00CA27CC"/>
    <w:rsid w:val="00CB4B68"/>
    <w:rsid w:val="00CB6B34"/>
    <w:rsid w:val="00CC1A99"/>
    <w:rsid w:val="00CC3749"/>
    <w:rsid w:val="00CC41F7"/>
    <w:rsid w:val="00CD6A6F"/>
    <w:rsid w:val="00CE2207"/>
    <w:rsid w:val="00CE347A"/>
    <w:rsid w:val="00CE4798"/>
    <w:rsid w:val="00CE6E7E"/>
    <w:rsid w:val="00CF4424"/>
    <w:rsid w:val="00CF6762"/>
    <w:rsid w:val="00D02666"/>
    <w:rsid w:val="00D03CC5"/>
    <w:rsid w:val="00D047D4"/>
    <w:rsid w:val="00D048EC"/>
    <w:rsid w:val="00D05A24"/>
    <w:rsid w:val="00D15234"/>
    <w:rsid w:val="00D20610"/>
    <w:rsid w:val="00D20C3E"/>
    <w:rsid w:val="00D216F4"/>
    <w:rsid w:val="00D21923"/>
    <w:rsid w:val="00D21B35"/>
    <w:rsid w:val="00D22EC8"/>
    <w:rsid w:val="00D27A8B"/>
    <w:rsid w:val="00D33BA3"/>
    <w:rsid w:val="00D34E37"/>
    <w:rsid w:val="00D43B52"/>
    <w:rsid w:val="00D45551"/>
    <w:rsid w:val="00D52504"/>
    <w:rsid w:val="00D5651D"/>
    <w:rsid w:val="00D73C3A"/>
    <w:rsid w:val="00D81E01"/>
    <w:rsid w:val="00D854FA"/>
    <w:rsid w:val="00D919C2"/>
    <w:rsid w:val="00D942EC"/>
    <w:rsid w:val="00D95933"/>
    <w:rsid w:val="00D96407"/>
    <w:rsid w:val="00D972AE"/>
    <w:rsid w:val="00DA12AF"/>
    <w:rsid w:val="00DA70B9"/>
    <w:rsid w:val="00DA79F8"/>
    <w:rsid w:val="00DB5EA7"/>
    <w:rsid w:val="00DB7564"/>
    <w:rsid w:val="00DC314E"/>
    <w:rsid w:val="00DC4A8C"/>
    <w:rsid w:val="00DC7E9E"/>
    <w:rsid w:val="00DD518A"/>
    <w:rsid w:val="00DE3D1B"/>
    <w:rsid w:val="00DF1A57"/>
    <w:rsid w:val="00E00E25"/>
    <w:rsid w:val="00E02F2E"/>
    <w:rsid w:val="00E1286D"/>
    <w:rsid w:val="00E14045"/>
    <w:rsid w:val="00E14850"/>
    <w:rsid w:val="00E35131"/>
    <w:rsid w:val="00E4492C"/>
    <w:rsid w:val="00E53877"/>
    <w:rsid w:val="00E62D2A"/>
    <w:rsid w:val="00E630F4"/>
    <w:rsid w:val="00E6592E"/>
    <w:rsid w:val="00E67FB6"/>
    <w:rsid w:val="00E71E47"/>
    <w:rsid w:val="00E7474A"/>
    <w:rsid w:val="00E82D9D"/>
    <w:rsid w:val="00E83500"/>
    <w:rsid w:val="00E852E3"/>
    <w:rsid w:val="00E855C5"/>
    <w:rsid w:val="00E8719C"/>
    <w:rsid w:val="00E90680"/>
    <w:rsid w:val="00E926A1"/>
    <w:rsid w:val="00E951AC"/>
    <w:rsid w:val="00EA6A82"/>
    <w:rsid w:val="00EB24D5"/>
    <w:rsid w:val="00EB373E"/>
    <w:rsid w:val="00EB6949"/>
    <w:rsid w:val="00EC45EF"/>
    <w:rsid w:val="00EC61F0"/>
    <w:rsid w:val="00ED1FCF"/>
    <w:rsid w:val="00ED300D"/>
    <w:rsid w:val="00ED7AD3"/>
    <w:rsid w:val="00EE2E27"/>
    <w:rsid w:val="00EE5B62"/>
    <w:rsid w:val="00EE64E3"/>
    <w:rsid w:val="00EF332B"/>
    <w:rsid w:val="00EF6B7C"/>
    <w:rsid w:val="00F066DD"/>
    <w:rsid w:val="00F15B0A"/>
    <w:rsid w:val="00F16C6F"/>
    <w:rsid w:val="00F2231D"/>
    <w:rsid w:val="00F24F1E"/>
    <w:rsid w:val="00F33C07"/>
    <w:rsid w:val="00F34274"/>
    <w:rsid w:val="00F40E07"/>
    <w:rsid w:val="00F4273D"/>
    <w:rsid w:val="00F443C5"/>
    <w:rsid w:val="00F47BCF"/>
    <w:rsid w:val="00F47D46"/>
    <w:rsid w:val="00F509A8"/>
    <w:rsid w:val="00F6022E"/>
    <w:rsid w:val="00F66528"/>
    <w:rsid w:val="00F71E0B"/>
    <w:rsid w:val="00F733B8"/>
    <w:rsid w:val="00F7680F"/>
    <w:rsid w:val="00F76FA7"/>
    <w:rsid w:val="00F82B3D"/>
    <w:rsid w:val="00F84F5A"/>
    <w:rsid w:val="00F85065"/>
    <w:rsid w:val="00F86193"/>
    <w:rsid w:val="00F9011F"/>
    <w:rsid w:val="00F90C20"/>
    <w:rsid w:val="00F92475"/>
    <w:rsid w:val="00F9308A"/>
    <w:rsid w:val="00F936EA"/>
    <w:rsid w:val="00F95E8C"/>
    <w:rsid w:val="00FA4D10"/>
    <w:rsid w:val="00FA7E95"/>
    <w:rsid w:val="00FB0CE9"/>
    <w:rsid w:val="00FB5E31"/>
    <w:rsid w:val="00FB6DA4"/>
    <w:rsid w:val="00FD55BA"/>
    <w:rsid w:val="00FD659A"/>
    <w:rsid w:val="00FD6C4D"/>
    <w:rsid w:val="00FD7BD8"/>
    <w:rsid w:val="00FE164A"/>
    <w:rsid w:val="00FE1D5D"/>
    <w:rsid w:val="00FF2512"/>
    <w:rsid w:val="00FF25F6"/>
    <w:rsid w:val="00FF381E"/>
    <w:rsid w:val="00FF682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iPriority="1" w:qFormat="1"/>
    <w:lsdException w:name="heading 7" w:uiPriority="12" w:qFormat="1"/>
    <w:lsdException w:name="heading 8" w:uiPriority="9"/>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34FF"/>
    <w:pPr>
      <w:widowControl w:val="0"/>
      <w:jc w:val="both"/>
    </w:pPr>
  </w:style>
  <w:style w:type="paragraph" w:styleId="Heading1">
    <w:name w:val="heading 1"/>
    <w:basedOn w:val="Normal"/>
    <w:next w:val="Para0"/>
    <w:link w:val="Heading1Char"/>
    <w:uiPriority w:val="1"/>
    <w:qFormat/>
    <w:rsid w:val="00631CE5"/>
    <w:pPr>
      <w:keepNext/>
      <w:keepLines/>
      <w:widowControl/>
      <w:numPr>
        <w:numId w:val="44"/>
      </w:numPr>
      <w:tabs>
        <w:tab w:val="left" w:pos="850"/>
        <w:tab w:val="left" w:pos="1191"/>
        <w:tab w:val="left" w:pos="1531"/>
      </w:tabs>
      <w:spacing w:before="480" w:after="240"/>
      <w:jc w:val="left"/>
      <w:outlineLvl w:val="0"/>
    </w:pPr>
    <w:rPr>
      <w:rFonts w:cstheme="majorBidi"/>
      <w:b/>
      <w:bCs/>
      <w:color w:val="4E81BD"/>
      <w:kern w:val="28"/>
      <w:sz w:val="24"/>
      <w:szCs w:val="20"/>
    </w:rPr>
  </w:style>
  <w:style w:type="paragraph" w:styleId="Heading2">
    <w:name w:val="heading 2"/>
    <w:basedOn w:val="Normal"/>
    <w:next w:val="Para0"/>
    <w:link w:val="Heading2Char"/>
    <w:uiPriority w:val="1"/>
    <w:qFormat/>
    <w:rsid w:val="00631CE5"/>
    <w:pPr>
      <w:keepNext/>
      <w:widowControl/>
      <w:numPr>
        <w:ilvl w:val="1"/>
        <w:numId w:val="44"/>
      </w:numPr>
      <w:tabs>
        <w:tab w:val="left" w:pos="850"/>
        <w:tab w:val="left" w:pos="1191"/>
        <w:tab w:val="left" w:pos="1531"/>
      </w:tabs>
      <w:spacing w:before="240" w:after="240"/>
      <w:ind w:right="680"/>
      <w:jc w:val="left"/>
      <w:outlineLvl w:val="1"/>
    </w:pPr>
    <w:rPr>
      <w:rFonts w:cstheme="majorBidi"/>
      <w:b/>
      <w:bCs/>
      <w:sz w:val="24"/>
    </w:rPr>
  </w:style>
  <w:style w:type="paragraph" w:styleId="Heading3">
    <w:name w:val="heading 3"/>
    <w:basedOn w:val="Normal"/>
    <w:next w:val="Para0"/>
    <w:link w:val="Heading3Char"/>
    <w:uiPriority w:val="1"/>
    <w:qFormat/>
    <w:rsid w:val="00631CE5"/>
    <w:pPr>
      <w:keepNext/>
      <w:keepLines/>
      <w:widowControl/>
      <w:numPr>
        <w:ilvl w:val="2"/>
        <w:numId w:val="44"/>
      </w:numPr>
      <w:tabs>
        <w:tab w:val="left" w:pos="850"/>
        <w:tab w:val="left" w:pos="1191"/>
        <w:tab w:val="left" w:pos="1531"/>
      </w:tabs>
      <w:spacing w:before="240" w:after="120"/>
      <w:ind w:right="680"/>
      <w:jc w:val="left"/>
      <w:outlineLvl w:val="2"/>
    </w:pPr>
    <w:rPr>
      <w:rFonts w:cstheme="majorBidi"/>
      <w:b/>
      <w:bCs/>
      <w:i/>
      <w:iCs/>
      <w:color w:val="262626"/>
      <w:sz w:val="24"/>
    </w:rPr>
  </w:style>
  <w:style w:type="paragraph" w:styleId="Heading4">
    <w:name w:val="heading 4"/>
    <w:basedOn w:val="Normal"/>
    <w:next w:val="Para0"/>
    <w:link w:val="Heading4Char"/>
    <w:uiPriority w:val="1"/>
    <w:qFormat/>
    <w:rsid w:val="00631CE5"/>
    <w:pPr>
      <w:keepNext/>
      <w:keepLines/>
      <w:widowControl/>
      <w:numPr>
        <w:ilvl w:val="3"/>
        <w:numId w:val="44"/>
      </w:numPr>
      <w:tabs>
        <w:tab w:val="left" w:pos="850"/>
        <w:tab w:val="left" w:pos="1191"/>
        <w:tab w:val="left" w:pos="1531"/>
      </w:tabs>
      <w:spacing w:before="240" w:after="120"/>
      <w:ind w:right="680"/>
      <w:jc w:val="left"/>
      <w:outlineLvl w:val="3"/>
    </w:pPr>
    <w:rPr>
      <w:rFonts w:cstheme="majorBidi"/>
      <w:i/>
      <w:iCs/>
      <w:color w:val="000000" w:themeColor="text1"/>
      <w:sz w:val="24"/>
    </w:rPr>
  </w:style>
  <w:style w:type="paragraph" w:styleId="Heading5">
    <w:name w:val="heading 5"/>
    <w:basedOn w:val="Normal"/>
    <w:next w:val="Para0"/>
    <w:link w:val="Heading5Char"/>
    <w:uiPriority w:val="1"/>
    <w:qFormat/>
    <w:rsid w:val="00631CE5"/>
    <w:pPr>
      <w:keepNext/>
      <w:keepLines/>
      <w:widowControl/>
      <w:numPr>
        <w:ilvl w:val="4"/>
        <w:numId w:val="44"/>
      </w:numPr>
      <w:tabs>
        <w:tab w:val="left" w:pos="850"/>
        <w:tab w:val="left" w:pos="1191"/>
        <w:tab w:val="left" w:pos="1531"/>
      </w:tabs>
      <w:spacing w:before="240" w:after="120"/>
      <w:ind w:right="680"/>
      <w:jc w:val="left"/>
      <w:outlineLvl w:val="4"/>
    </w:pPr>
    <w:rPr>
      <w:rFonts w:cstheme="majorBidi"/>
      <w:color w:val="000000" w:themeColor="text1"/>
      <w:sz w:val="24"/>
    </w:rPr>
  </w:style>
  <w:style w:type="paragraph" w:styleId="Heading6">
    <w:name w:val="heading 6"/>
    <w:aliases w:val="Part"/>
    <w:basedOn w:val="Normal"/>
    <w:next w:val="Heading1"/>
    <w:link w:val="Heading6Char"/>
    <w:uiPriority w:val="1"/>
    <w:qFormat/>
    <w:rsid w:val="00631CE5"/>
    <w:pPr>
      <w:keepNext/>
      <w:widowControl/>
      <w:numPr>
        <w:ilvl w:val="5"/>
        <w:numId w:val="44"/>
      </w:numPr>
      <w:tabs>
        <w:tab w:val="left" w:pos="850"/>
        <w:tab w:val="left" w:pos="1191"/>
        <w:tab w:val="left" w:pos="1531"/>
      </w:tabs>
      <w:spacing w:before="1200" w:after="720"/>
      <w:jc w:val="center"/>
      <w:outlineLvl w:val="5"/>
    </w:pPr>
    <w:rPr>
      <w:rFonts w:cstheme="majorBidi"/>
      <w:b/>
      <w:color w:val="4E81BD"/>
      <w:sz w:val="28"/>
    </w:rPr>
  </w:style>
  <w:style w:type="paragraph" w:styleId="Heading7">
    <w:name w:val="heading 7"/>
    <w:aliases w:val="Doc AnnX"/>
    <w:basedOn w:val="Normal"/>
    <w:next w:val="Para0"/>
    <w:link w:val="Heading7Char"/>
    <w:uiPriority w:val="12"/>
    <w:qFormat/>
    <w:rsid w:val="00631CE5"/>
    <w:pPr>
      <w:keepNext/>
      <w:widowControl/>
      <w:numPr>
        <w:ilvl w:val="6"/>
        <w:numId w:val="44"/>
      </w:numPr>
      <w:tabs>
        <w:tab w:val="left" w:pos="850"/>
        <w:tab w:val="left" w:pos="1191"/>
        <w:tab w:val="left" w:pos="1531"/>
      </w:tabs>
      <w:spacing w:before="1200" w:after="720"/>
      <w:jc w:val="center"/>
      <w:outlineLvl w:val="6"/>
    </w:pPr>
    <w:rPr>
      <w:rFonts w:cstheme="majorBidi"/>
      <w:b/>
      <w:color w:val="4E81BD"/>
      <w:sz w:val="28"/>
    </w:rPr>
  </w:style>
  <w:style w:type="paragraph" w:styleId="Heading8">
    <w:name w:val="heading 8"/>
    <w:aliases w:val="Part AnnX"/>
    <w:next w:val="Para0"/>
    <w:link w:val="Heading8Char"/>
    <w:uiPriority w:val="9"/>
    <w:rsid w:val="00B06D82"/>
    <w:pPr>
      <w:keepNext/>
      <w:pageBreakBefore/>
      <w:numPr>
        <w:ilvl w:val="7"/>
        <w:numId w:val="44"/>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basedOn w:val="Heading8"/>
    <w:next w:val="Para0"/>
    <w:link w:val="Heading9Char"/>
    <w:uiPriority w:val="14"/>
    <w:qFormat/>
    <w:rsid w:val="00631CE5"/>
    <w:pPr>
      <w:numPr>
        <w:ilvl w:val="8"/>
      </w:numPr>
      <w:tabs>
        <w:tab w:val="left" w:pos="850"/>
        <w:tab w:val="left" w:pos="1191"/>
        <w:tab w:val="left" w:pos="1531"/>
      </w:tabs>
      <w:outlineLvl w:val="8"/>
    </w:pPr>
    <w:rPr>
      <w:rFonts w:ascii="Times New Roman" w:eastAsiaTheme="minorHAnsi" w:hAnsi="Times New Roman"/>
      <w:color w:val="4E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basedOn w:val="Normal"/>
    <w:link w:val="ParaChar"/>
    <w:uiPriority w:val="3"/>
    <w:qFormat/>
    <w:rsid w:val="00631CE5"/>
    <w:pPr>
      <w:widowControl/>
      <w:spacing w:before="120" w:after="120"/>
      <w:ind w:left="680" w:right="680"/>
    </w:pPr>
    <w:rPr>
      <w:rFonts w:eastAsia="SimSun"/>
    </w:rPr>
  </w:style>
  <w:style w:type="paragraph" w:styleId="Title">
    <w:name w:val="Title"/>
    <w:basedOn w:val="Normal"/>
    <w:next w:val="Para0"/>
    <w:link w:val="TitleChar"/>
    <w:qFormat/>
    <w:rsid w:val="00631CE5"/>
    <w:pPr>
      <w:keepNext/>
      <w:keepLines/>
      <w:widowControl/>
      <w:tabs>
        <w:tab w:val="left" w:pos="850"/>
        <w:tab w:val="left" w:pos="1191"/>
        <w:tab w:val="left" w:pos="1531"/>
      </w:tabs>
      <w:spacing w:before="1200" w:after="720"/>
      <w:ind w:left="680" w:right="680"/>
      <w:jc w:val="center"/>
      <w:outlineLvl w:val="0"/>
    </w:pPr>
    <w:rPr>
      <w:rFonts w:cs="Arial"/>
      <w:bCs/>
      <w:i/>
      <w:color w:val="4E81BD"/>
      <w:kern w:val="28"/>
      <w:sz w:val="32"/>
      <w:szCs w:val="32"/>
    </w:rPr>
  </w:style>
  <w:style w:type="character" w:customStyle="1" w:styleId="ParaChar">
    <w:name w:val="Para Char"/>
    <w:basedOn w:val="DefaultParagraphFont"/>
    <w:link w:val="Para0"/>
    <w:uiPriority w:val="3"/>
    <w:rsid w:val="00631CE5"/>
    <w:rPr>
      <w:rFonts w:eastAsia="SimSun"/>
    </w:rPr>
  </w:style>
  <w:style w:type="character" w:customStyle="1" w:styleId="TitleChar">
    <w:name w:val="Title Char"/>
    <w:basedOn w:val="DefaultParagraphFont"/>
    <w:link w:val="Title"/>
    <w:rsid w:val="00631CE5"/>
    <w:rPr>
      <w:rFonts w:cs="Arial"/>
      <w:bCs/>
      <w:i/>
      <w:color w:val="4E81BD"/>
      <w:kern w:val="28"/>
      <w:sz w:val="32"/>
      <w:szCs w:val="32"/>
    </w:rPr>
  </w:style>
  <w:style w:type="character" w:customStyle="1" w:styleId="Heading1Char">
    <w:name w:val="Heading 1 Char"/>
    <w:basedOn w:val="DefaultParagraphFont"/>
    <w:link w:val="Heading1"/>
    <w:uiPriority w:val="1"/>
    <w:rsid w:val="00631CE5"/>
    <w:rPr>
      <w:rFonts w:cstheme="majorBidi"/>
      <w:b/>
      <w:bCs/>
      <w:color w:val="4E81BD"/>
      <w:kern w:val="28"/>
      <w:sz w:val="24"/>
      <w:szCs w:val="20"/>
    </w:rPr>
  </w:style>
  <w:style w:type="character" w:customStyle="1" w:styleId="Heading2Char">
    <w:name w:val="Heading 2 Char"/>
    <w:basedOn w:val="DefaultParagraphFont"/>
    <w:link w:val="Heading2"/>
    <w:uiPriority w:val="1"/>
    <w:rsid w:val="00631CE5"/>
    <w:rPr>
      <w:rFonts w:cstheme="majorBidi"/>
      <w:b/>
      <w:bCs/>
      <w:sz w:val="24"/>
    </w:rPr>
  </w:style>
  <w:style w:type="character" w:customStyle="1" w:styleId="Heading3Char">
    <w:name w:val="Heading 3 Char"/>
    <w:basedOn w:val="DefaultParagraphFont"/>
    <w:link w:val="Heading3"/>
    <w:uiPriority w:val="1"/>
    <w:rsid w:val="00631CE5"/>
    <w:rPr>
      <w:rFonts w:cstheme="majorBidi"/>
      <w:b/>
      <w:bCs/>
      <w:i/>
      <w:iCs/>
      <w:color w:val="262626"/>
      <w:sz w:val="24"/>
    </w:rPr>
  </w:style>
  <w:style w:type="character" w:customStyle="1" w:styleId="Heading4Char">
    <w:name w:val="Heading 4 Char"/>
    <w:basedOn w:val="DefaultParagraphFont"/>
    <w:link w:val="Heading4"/>
    <w:uiPriority w:val="1"/>
    <w:rsid w:val="00631CE5"/>
    <w:rPr>
      <w:rFonts w:cstheme="majorBidi"/>
      <w:i/>
      <w:iCs/>
      <w:color w:val="000000" w:themeColor="text1"/>
      <w:sz w:val="24"/>
    </w:rPr>
  </w:style>
  <w:style w:type="character" w:customStyle="1" w:styleId="Heading5Char">
    <w:name w:val="Heading 5 Char"/>
    <w:basedOn w:val="DefaultParagraphFont"/>
    <w:link w:val="Heading5"/>
    <w:uiPriority w:val="1"/>
    <w:rsid w:val="00631CE5"/>
    <w:rPr>
      <w:rFonts w:cstheme="majorBidi"/>
      <w:color w:val="000000" w:themeColor="text1"/>
      <w:sz w:val="24"/>
    </w:rPr>
  </w:style>
  <w:style w:type="character" w:customStyle="1" w:styleId="Heading6Char">
    <w:name w:val="Heading 6 Char"/>
    <w:aliases w:val="Part Char"/>
    <w:basedOn w:val="DefaultParagraphFont"/>
    <w:link w:val="Heading6"/>
    <w:uiPriority w:val="1"/>
    <w:rsid w:val="00631CE5"/>
    <w:rPr>
      <w:rFonts w:cstheme="majorBidi"/>
      <w:b/>
      <w:color w:val="4E81BD"/>
      <w:sz w:val="28"/>
    </w:rPr>
  </w:style>
  <w:style w:type="character" w:customStyle="1" w:styleId="Heading7Char">
    <w:name w:val="Heading 7 Char"/>
    <w:aliases w:val="Doc AnnX Char"/>
    <w:basedOn w:val="DefaultParagraphFont"/>
    <w:link w:val="Heading7"/>
    <w:uiPriority w:val="12"/>
    <w:rsid w:val="00631CE5"/>
    <w:rPr>
      <w:rFonts w:cstheme="majorBidi"/>
      <w:b/>
      <w:color w:val="4E81BD"/>
      <w:sz w:val="28"/>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14"/>
    <w:rsid w:val="00631CE5"/>
    <w:rPr>
      <w:rFonts w:cstheme="majorBidi"/>
      <w:b/>
      <w:color w:val="4E81BD"/>
      <w:sz w:val="28"/>
      <w:szCs w:val="20"/>
    </w:rPr>
  </w:style>
  <w:style w:type="paragraph" w:customStyle="1" w:styleId="Title2">
    <w:name w:val="Title 2"/>
    <w:basedOn w:val="Heading2"/>
    <w:next w:val="Para0"/>
    <w:qFormat/>
    <w:rsid w:val="00631CE5"/>
    <w:pPr>
      <w:numPr>
        <w:ilvl w:val="0"/>
        <w:numId w:val="0"/>
      </w:numPr>
    </w:pPr>
    <w:rPr>
      <w:color w:val="4E81BD"/>
    </w:rPr>
  </w:style>
  <w:style w:type="paragraph" w:customStyle="1" w:styleId="Title3">
    <w:name w:val="Title 3"/>
    <w:basedOn w:val="Normal"/>
    <w:next w:val="Para0"/>
    <w:qFormat/>
    <w:rsid w:val="00631CE5"/>
    <w:pPr>
      <w:keepNext/>
      <w:keepLines/>
      <w:widowControl/>
      <w:tabs>
        <w:tab w:val="left" w:pos="850"/>
        <w:tab w:val="left" w:pos="1191"/>
        <w:tab w:val="left" w:pos="1531"/>
      </w:tabs>
      <w:spacing w:before="240" w:after="120"/>
      <w:ind w:left="680" w:right="680"/>
      <w:jc w:val="left"/>
      <w:outlineLvl w:val="2"/>
    </w:pPr>
    <w:rPr>
      <w:rFonts w:cstheme="majorBidi"/>
      <w:b/>
      <w:i/>
      <w:sz w:val="24"/>
    </w:rPr>
  </w:style>
  <w:style w:type="paragraph" w:customStyle="1" w:styleId="Abstract">
    <w:name w:val="Abstract"/>
    <w:basedOn w:val="Para0"/>
    <w:uiPriority w:val="2"/>
    <w:qFormat/>
    <w:rsid w:val="00631CE5"/>
    <w:pPr>
      <w:pBdr>
        <w:top w:val="single" w:sz="4" w:space="12" w:color="auto"/>
        <w:left w:val="single" w:sz="4" w:space="12" w:color="auto"/>
        <w:bottom w:val="single" w:sz="4" w:space="12" w:color="auto"/>
        <w:right w:val="single" w:sz="4" w:space="12" w:color="auto"/>
      </w:pBdr>
    </w:pPr>
    <w:rPr>
      <w:i/>
    </w:rPr>
  </w:style>
  <w:style w:type="paragraph" w:customStyle="1" w:styleId="Para">
    <w:name w:val="Para #"/>
    <w:basedOn w:val="Normal"/>
    <w:link w:val="ParaChar0"/>
    <w:uiPriority w:val="4"/>
    <w:qFormat/>
    <w:rsid w:val="00631CE5"/>
    <w:pPr>
      <w:widowControl/>
      <w:numPr>
        <w:numId w:val="45"/>
      </w:numPr>
      <w:tabs>
        <w:tab w:val="left" w:pos="1361"/>
      </w:tabs>
      <w:spacing w:before="120" w:after="120"/>
      <w:ind w:right="680"/>
    </w:pPr>
    <w:rPr>
      <w:rFonts w:eastAsia="SimSun"/>
    </w:rPr>
  </w:style>
  <w:style w:type="paragraph" w:customStyle="1" w:styleId="NumberedList">
    <w:name w:val="Numbered List"/>
    <w:basedOn w:val="ListParagraph"/>
    <w:uiPriority w:val="5"/>
    <w:qFormat/>
    <w:rsid w:val="00631CE5"/>
    <w:pPr>
      <w:widowControl/>
      <w:numPr>
        <w:numId w:val="47"/>
      </w:numPr>
      <w:spacing w:after="120"/>
      <w:ind w:right="680"/>
      <w:contextualSpacing w:val="0"/>
    </w:pPr>
    <w:rPr>
      <w:rFonts w:eastAsia="SimSun"/>
    </w:rPr>
  </w:style>
  <w:style w:type="paragraph" w:customStyle="1" w:styleId="BulletedList">
    <w:name w:val="Bulleted List"/>
    <w:basedOn w:val="ListParagraph"/>
    <w:uiPriority w:val="6"/>
    <w:qFormat/>
    <w:rsid w:val="00631CE5"/>
    <w:pPr>
      <w:widowControl/>
      <w:numPr>
        <w:numId w:val="46"/>
      </w:numPr>
      <w:spacing w:after="120"/>
      <w:ind w:right="680"/>
      <w:contextualSpacing w:val="0"/>
    </w:pPr>
    <w:rPr>
      <w:rFonts w:eastAsia="SimSun"/>
    </w:rPr>
  </w:style>
  <w:style w:type="paragraph" w:styleId="ListParagraph">
    <w:name w:val="List Paragraph"/>
    <w:aliases w:val="Dot pt,F5 List Paragraph,List Paragraph Char Char Char,Indicator Text,Numbered Para 1,List Paragraph11,Colorful List - Accent 11,Bullet 1,Bullet Points,MAIN CONTENT,List Paragraph2,Normal numbered,L,No Spacing1,List Paragraph1,lp1,viñetas"/>
    <w:basedOn w:val="Normal"/>
    <w:link w:val="ListParagraphChar"/>
    <w:uiPriority w:val="34"/>
    <w:qFormat/>
    <w:rsid w:val="004230BA"/>
    <w:pPr>
      <w:ind w:left="720"/>
      <w:contextualSpacing/>
    </w:pPr>
  </w:style>
  <w:style w:type="paragraph" w:customStyle="1" w:styleId="CaptionSubtitle">
    <w:name w:val="Caption Subtitle"/>
    <w:next w:val="Para0"/>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basedOn w:val="Normal"/>
    <w:next w:val="Para0"/>
    <w:uiPriority w:val="8"/>
    <w:qFormat/>
    <w:rsid w:val="00631CE5"/>
    <w:pPr>
      <w:keepNext/>
      <w:widowControl/>
      <w:tabs>
        <w:tab w:val="left" w:pos="850"/>
        <w:tab w:val="left" w:pos="1191"/>
        <w:tab w:val="left" w:pos="1531"/>
      </w:tabs>
      <w:spacing w:before="240" w:after="120"/>
      <w:ind w:left="680" w:right="680"/>
      <w:jc w:val="left"/>
    </w:pPr>
    <w:rPr>
      <w:b/>
      <w:sz w:val="20"/>
    </w:rPr>
  </w:style>
  <w:style w:type="paragraph" w:customStyle="1" w:styleId="Sourcenotes">
    <w:name w:val="Source &amp; notes"/>
    <w:basedOn w:val="Normal"/>
    <w:uiPriority w:val="9"/>
    <w:qFormat/>
    <w:rsid w:val="00631CE5"/>
    <w:pPr>
      <w:keepLines/>
      <w:widowControl/>
      <w:spacing w:before="120" w:after="240"/>
      <w:ind w:left="680" w:right="680"/>
      <w:contextualSpacing/>
    </w:pPr>
    <w:rPr>
      <w:rFonts w:eastAsia="SimSun" w:cs="Arial"/>
      <w:sz w:val="18"/>
      <w:szCs w:val="18"/>
    </w:rPr>
  </w:style>
  <w:style w:type="paragraph" w:customStyle="1" w:styleId="TableCell">
    <w:name w:val="Table Cell"/>
    <w:basedOn w:val="Normal"/>
    <w:uiPriority w:val="10"/>
    <w:qFormat/>
    <w:rsid w:val="00631CE5"/>
    <w:pPr>
      <w:keepNext/>
      <w:keepLines/>
      <w:widowControl/>
      <w:tabs>
        <w:tab w:val="left" w:pos="340"/>
        <w:tab w:val="left" w:pos="680"/>
      </w:tabs>
      <w:spacing w:before="20" w:after="20"/>
      <w:jc w:val="right"/>
    </w:pPr>
    <w:rPr>
      <w:rFonts w:ascii="Arial Narrow" w:eastAsia="SimSun" w:hAnsi="Arial Narrow" w:cs="Arial"/>
      <w:sz w:val="17"/>
      <w:szCs w:val="18"/>
    </w:rPr>
  </w:style>
  <w:style w:type="paragraph" w:customStyle="1" w:styleId="TableRow">
    <w:name w:val="Table Row"/>
    <w:basedOn w:val="TableCell"/>
    <w:uiPriority w:val="10"/>
    <w:qFormat/>
    <w:rsid w:val="00631CE5"/>
    <w:pPr>
      <w:jc w:val="left"/>
    </w:pPr>
  </w:style>
  <w:style w:type="paragraph" w:customStyle="1" w:styleId="TableColumn">
    <w:name w:val="Table Column"/>
    <w:basedOn w:val="TableRow"/>
    <w:uiPriority w:val="10"/>
    <w:qFormat/>
    <w:rsid w:val="00631CE5"/>
    <w:pPr>
      <w:jc w:val="center"/>
    </w:pPr>
  </w:style>
  <w:style w:type="paragraph" w:customStyle="1" w:styleId="Quotationshort">
    <w:name w:val="Quotation (short)"/>
    <w:basedOn w:val="Normal"/>
    <w:link w:val="QuotationshortChar"/>
    <w:uiPriority w:val="11"/>
    <w:qFormat/>
    <w:rsid w:val="00631CE5"/>
    <w:pPr>
      <w:widowControl/>
      <w:spacing w:after="120"/>
    </w:pPr>
    <w:rPr>
      <w:rFonts w:eastAsia="SimSun"/>
      <w:i/>
    </w:rPr>
  </w:style>
  <w:style w:type="paragraph" w:styleId="Quote">
    <w:name w:val="Quote"/>
    <w:aliases w:val="Quotation (long)"/>
    <w:basedOn w:val="Normal"/>
    <w:link w:val="QuoteChar"/>
    <w:uiPriority w:val="11"/>
    <w:qFormat/>
    <w:rsid w:val="00631CE5"/>
    <w:pPr>
      <w:widowControl/>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11"/>
    <w:rsid w:val="00631CE5"/>
    <w:rPr>
      <w:rFonts w:eastAsia="SimSun"/>
      <w:i/>
      <w:iCs/>
      <w:color w:val="404040"/>
    </w:rPr>
  </w:style>
  <w:style w:type="paragraph" w:customStyle="1" w:styleId="AnnexH2">
    <w:name w:val="Annex H2"/>
    <w:basedOn w:val="Normal"/>
    <w:next w:val="Para0"/>
    <w:uiPriority w:val="15"/>
    <w:qFormat/>
    <w:rsid w:val="00631CE5"/>
    <w:pPr>
      <w:keepNext/>
      <w:widowControl/>
      <w:tabs>
        <w:tab w:val="left" w:pos="850"/>
        <w:tab w:val="left" w:pos="1191"/>
        <w:tab w:val="left" w:pos="1531"/>
      </w:tabs>
      <w:spacing w:before="240" w:after="240"/>
      <w:ind w:right="680"/>
      <w:jc w:val="left"/>
      <w:outlineLvl w:val="1"/>
    </w:pPr>
    <w:rPr>
      <w:b/>
      <w:color w:val="4E81BD"/>
      <w:sz w:val="24"/>
    </w:rPr>
  </w:style>
  <w:style w:type="paragraph" w:customStyle="1" w:styleId="AnnexH3">
    <w:name w:val="Annex H3"/>
    <w:basedOn w:val="Normal"/>
    <w:next w:val="Para0"/>
    <w:uiPriority w:val="15"/>
    <w:qFormat/>
    <w:rsid w:val="00631CE5"/>
    <w:pPr>
      <w:keepNext/>
      <w:keepLines/>
      <w:widowControl/>
      <w:tabs>
        <w:tab w:val="left" w:pos="850"/>
        <w:tab w:val="left" w:pos="1191"/>
        <w:tab w:val="left" w:pos="1531"/>
      </w:tabs>
      <w:spacing w:before="240" w:after="120"/>
      <w:ind w:left="680" w:right="680"/>
      <w:jc w:val="left"/>
      <w:outlineLvl w:val="2"/>
    </w:pPr>
    <w:rPr>
      <w:b/>
      <w:i/>
      <w:color w:val="262626"/>
      <w:sz w:val="24"/>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1"/>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qFormat/>
    <w:rsid w:val="00631CE5"/>
    <w:pPr>
      <w:widowControl/>
      <w:spacing w:after="120"/>
      <w:ind w:left="284" w:hanging="284"/>
      <w:jc w:val="left"/>
    </w:pPr>
    <w:rPr>
      <w:rFonts w:eastAsia="SimSun"/>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unhideWhenUsed/>
    <w:qFormat/>
    <w:rsid w:val="00631CE5"/>
    <w:rPr>
      <w:rFonts w:ascii="Times New Roman" w:hAnsi="Times New Roman"/>
      <w:i w:val="0"/>
      <w:position w:val="0"/>
      <w:sz w:val="22"/>
      <w:vertAlign w:val="superscript"/>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Fußnote"/>
    <w:basedOn w:val="Normal"/>
    <w:link w:val="FootnoteTextChar"/>
    <w:uiPriority w:val="99"/>
    <w:unhideWhenUsed/>
    <w:qFormat/>
    <w:rsid w:val="00631CE5"/>
    <w:pPr>
      <w:widowControl/>
      <w:spacing w:after="120"/>
      <w:ind w:left="680" w:right="680"/>
    </w:pPr>
    <w:rPr>
      <w:rFonts w:eastAsia="SimSun"/>
      <w:sz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 Char"/>
    <w:basedOn w:val="DefaultParagraphFont"/>
    <w:link w:val="FootnoteText"/>
    <w:uiPriority w:val="99"/>
    <w:rsid w:val="00631CE5"/>
    <w:rPr>
      <w:rFonts w:eastAsia="SimSun"/>
      <w:sz w:val="20"/>
    </w:rPr>
  </w:style>
  <w:style w:type="paragraph" w:styleId="EndnoteText">
    <w:name w:val="endnote text"/>
    <w:basedOn w:val="FootnoteText"/>
    <w:link w:val="EndnoteTextChar"/>
    <w:uiPriority w:val="99"/>
    <w:unhideWhenUsed/>
    <w:qFormat/>
    <w:rsid w:val="00631CE5"/>
  </w:style>
  <w:style w:type="character" w:customStyle="1" w:styleId="EndnoteTextChar">
    <w:name w:val="Endnote Text Char"/>
    <w:basedOn w:val="DefaultParagraphFont"/>
    <w:link w:val="EndnoteText"/>
    <w:uiPriority w:val="99"/>
    <w:rsid w:val="00631CE5"/>
    <w:rPr>
      <w:rFonts w:eastAsia="SimSun"/>
      <w:sz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aliases w:val="Footnote symbol,Знак сноски-FN,callout,Rimando notaOreste,Rimando notaOreste1,Rimando notaOreste2,nota a piè di pagina,(Footnote Reference),SUPERS,EN Footnote Reference,Footnote reference number,note TESI,Footnote number,fr,o,Footnote"/>
    <w:basedOn w:val="DefaultParagraphFont"/>
    <w:link w:val="Char2"/>
    <w:uiPriority w:val="99"/>
    <w:unhideWhenUsed/>
    <w:qFormat/>
    <w:rsid w:val="00631CE5"/>
    <w:rPr>
      <w:rFonts w:ascii="Times New Roman" w:hAnsi="Times New Roman"/>
      <w:i w:val="0"/>
      <w:position w:val="0"/>
      <w:sz w:val="22"/>
      <w:vertAlign w:val="superscript"/>
    </w:rPr>
  </w:style>
  <w:style w:type="paragraph" w:customStyle="1" w:styleId="GroupHeading">
    <w:name w:val="Group Heading"/>
    <w:basedOn w:val="Normal"/>
    <w:next w:val="Para0"/>
    <w:rsid w:val="00CC1A99"/>
    <w:pPr>
      <w:keepNext/>
      <w:numPr>
        <w:numId w:val="2"/>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3"/>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jc w:val="right"/>
    </w:pPr>
    <w:rPr>
      <w:rFonts w:ascii="StatLink" w:hAnsi="StatLink"/>
      <w:sz w:val="18"/>
    </w:rPr>
  </w:style>
  <w:style w:type="paragraph" w:styleId="TableofFigures">
    <w:name w:val="table of figures"/>
    <w:next w:val="Normal"/>
    <w:uiPriority w:val="99"/>
    <w:rsid w:val="00907E59"/>
    <w:pPr>
      <w:tabs>
        <w:tab w:val="right" w:pos="9072"/>
      </w:tabs>
      <w:spacing w:line="220" w:lineRule="exact"/>
      <w:ind w:right="510"/>
    </w:pPr>
    <w:rPr>
      <w:color w:val="000000" w:themeColor="text1"/>
      <w:sz w:val="18"/>
    </w:rPr>
  </w:style>
  <w:style w:type="paragraph" w:styleId="TOC1">
    <w:name w:val="toc 1"/>
    <w:basedOn w:val="Normal"/>
    <w:next w:val="Normal"/>
    <w:uiPriority w:val="39"/>
    <w:unhideWhenUsed/>
    <w:qFormat/>
    <w:rsid w:val="00631CE5"/>
    <w:pPr>
      <w:widowControl/>
      <w:tabs>
        <w:tab w:val="right" w:leader="dot" w:pos="9072"/>
      </w:tabs>
      <w:spacing w:before="120" w:after="120"/>
      <w:ind w:right="510"/>
      <w:jc w:val="left"/>
    </w:pPr>
    <w:rPr>
      <w:b/>
      <w:noProof/>
      <w:sz w:val="20"/>
    </w:rPr>
  </w:style>
  <w:style w:type="paragraph" w:styleId="TOC2">
    <w:name w:val="toc 2"/>
    <w:basedOn w:val="Normal"/>
    <w:next w:val="Normal"/>
    <w:uiPriority w:val="39"/>
    <w:unhideWhenUsed/>
    <w:qFormat/>
    <w:rsid w:val="00631CE5"/>
    <w:pPr>
      <w:widowControl/>
      <w:tabs>
        <w:tab w:val="right" w:leader="dot" w:pos="9072"/>
      </w:tabs>
      <w:ind w:left="198" w:right="510"/>
      <w:jc w:val="left"/>
    </w:pPr>
    <w:rPr>
      <w:noProof/>
      <w:sz w:val="20"/>
    </w:rPr>
  </w:style>
  <w:style w:type="paragraph" w:styleId="TOC3">
    <w:name w:val="toc 3"/>
    <w:basedOn w:val="Normal"/>
    <w:next w:val="Normal"/>
    <w:uiPriority w:val="39"/>
    <w:unhideWhenUsed/>
    <w:qFormat/>
    <w:rsid w:val="00631CE5"/>
    <w:pPr>
      <w:widowControl/>
      <w:tabs>
        <w:tab w:val="right" w:leader="dot" w:pos="9072"/>
      </w:tabs>
      <w:ind w:left="397" w:right="510"/>
      <w:jc w:val="left"/>
    </w:pPr>
    <w:rPr>
      <w:noProof/>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basedOn w:val="Heading1"/>
    <w:next w:val="Normal"/>
    <w:uiPriority w:val="39"/>
    <w:unhideWhenUsed/>
    <w:qFormat/>
    <w:rsid w:val="00631CE5"/>
    <w:pPr>
      <w:numPr>
        <w:numId w:val="0"/>
      </w:numPr>
      <w:tabs>
        <w:tab w:val="clear" w:pos="850"/>
        <w:tab w:val="clear" w:pos="1191"/>
        <w:tab w:val="clear" w:pos="1531"/>
      </w:tabs>
      <w:spacing w:line="276" w:lineRule="auto"/>
      <w:ind w:right="680"/>
      <w:outlineLvl w:val="9"/>
    </w:pPr>
    <w:rPr>
      <w:rFonts w:eastAsia="SimHei"/>
      <w:b w:val="0"/>
      <w:bCs w:val="0"/>
      <w:i/>
      <w:kern w:val="0"/>
      <w:sz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rsid w:val="000E5F57"/>
    <w:pPr>
      <w:spacing w:before="180" w:after="120"/>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rsid w:val="00F47BCF"/>
    <w:pPr>
      <w:outlineLvl w:val="2"/>
    </w:pPr>
  </w:style>
  <w:style w:type="paragraph" w:styleId="TOAHeading">
    <w:name w:val="toa heading"/>
    <w:basedOn w:val="Normal"/>
    <w:next w:val="Normal"/>
    <w:uiPriority w:val="99"/>
    <w:unhideWhenUsed/>
    <w:qFormat/>
    <w:rsid w:val="00631CE5"/>
    <w:pPr>
      <w:widowControl/>
      <w:spacing w:before="120"/>
    </w:pPr>
    <w:rPr>
      <w:rFonts w:ascii="Arial" w:eastAsia="SimSun" w:hAnsi="Arial" w:cs="Arial"/>
      <w:b/>
      <w:bCs/>
      <w:sz w:val="24"/>
      <w:szCs w:val="24"/>
    </w:rPr>
  </w:style>
  <w:style w:type="character" w:customStyle="1" w:styleId="QuotationshortChar">
    <w:name w:val="Quotation (short) Char"/>
    <w:basedOn w:val="DefaultParagraphFont"/>
    <w:link w:val="Quotationshort"/>
    <w:uiPriority w:val="11"/>
    <w:rsid w:val="00631CE5"/>
    <w:rPr>
      <w:rFonts w:eastAsia="SimSun"/>
      <w:i/>
    </w:rPr>
  </w:style>
  <w:style w:type="character" w:customStyle="1" w:styleId="ParaChar0">
    <w:name w:val="Para # Char"/>
    <w:basedOn w:val="DefaultParagraphFont"/>
    <w:link w:val="Para"/>
    <w:uiPriority w:val="4"/>
    <w:rsid w:val="00631CE5"/>
    <w:rPr>
      <w:rFonts w:eastAsia="SimSun"/>
    </w:rPr>
  </w:style>
  <w:style w:type="numbering" w:customStyle="1" w:styleId="ImportedStyle4">
    <w:name w:val="Imported Style 4"/>
    <w:rsid w:val="002D76E0"/>
    <w:pPr>
      <w:numPr>
        <w:numId w:val="8"/>
      </w:numPr>
    </w:pPr>
  </w:style>
  <w:style w:type="paragraph" w:customStyle="1" w:styleId="Char2">
    <w:name w:val="Char2"/>
    <w:basedOn w:val="Normal"/>
    <w:link w:val="FootnoteReference"/>
    <w:uiPriority w:val="99"/>
    <w:rsid w:val="002D76E0"/>
    <w:pPr>
      <w:widowControl/>
      <w:spacing w:before="200" w:after="200" w:line="240" w:lineRule="exact"/>
      <w:jc w:val="left"/>
    </w:pPr>
    <w:rPr>
      <w:vertAlign w:val="superscript"/>
    </w:rPr>
  </w:style>
  <w:style w:type="character" w:customStyle="1" w:styleId="UnresolvedMention">
    <w:name w:val="Unresolved Mention"/>
    <w:basedOn w:val="DefaultParagraphFont"/>
    <w:uiPriority w:val="99"/>
    <w:semiHidden/>
    <w:unhideWhenUsed/>
    <w:rsid w:val="002D76E0"/>
    <w:rPr>
      <w:color w:val="605E5C"/>
      <w:shd w:val="clear" w:color="auto" w:fill="E1DFDD"/>
    </w:rPr>
  </w:style>
  <w:style w:type="character" w:customStyle="1" w:styleId="ListParagraphChar">
    <w:name w:val="List Paragraph Char"/>
    <w:aliases w:val="Dot pt Char,F5 List Paragraph Char,List Paragraph Char Char Char Char,Indicator Text Char,Numbered Para 1 Char,List Paragraph11 Char,Colorful List - Accent 11 Char,Bullet 1 Char,Bullet Points Char,MAIN CONTENT Char,L Char,lp1 Char"/>
    <w:basedOn w:val="DefaultParagraphFont"/>
    <w:link w:val="ListParagraph"/>
    <w:uiPriority w:val="34"/>
    <w:qFormat/>
    <w:locked/>
    <w:rsid w:val="0063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0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r e f - c o t e s   x m l n s : x s d = " h t t p : / / w w w . w 3 . o r g / 2 0 0 1 / X M L S c h e m a "   x m l n s : x s i = " h t t p : / / w w w . w 3 . o r g / 2 0 0 1 / X M L S c h e m a - i n s t a n c e "   V e r s i o n = " 3 . 5 "   x m l n s = " h t t p : / / w w w . o e c d . o r g / o n e a u t h o r / 2 0 1 6 / c o t e s " >  
     < c o t e   d e c i s i o n T y p e = " I n O l i s " > F A T F / P D G ( 2 0 2 2 ) 8 / R E V 2 < / c o t e >  
     < c o t e   d e c i s i o n T y p e = " I n O l i s " > F A T F / P D G ( 2 0 2 1 ) 7 / R E V 5 < / c o t e >  
     < c o t e   d e c i s i o n T y p e = " I n O l i s " > F A T F / P D G ( 2 0 2 2 ) 1 0 / R E V 1 < / c o t e >  
     < c o t e   d e c i s i o n T y p e = " I n O l i s " > F A T F / P D G ( 2 0 2 2 ) 9 / R E V 1 < / c o t e >  
     < c o t e   d e c i s i o n T y p e = " I n O l i s " > F A T F / P D G ( 2 0 2 2 ) 2 0 < / c o t e >  
     < c o t e   d e c i s i o n T y p e = " I n O l i s " > F A T F / P D G ( 2 0 2 2 ) 2 1 < / c o t e >  
     < c o t e   d e c i s i o n T y p e = " I n O l i s " > F A T F / P D G ( 2 0 2 2 ) 2 2 < / c o t e >  
     < c o t e   d e c i s i o n T y p e = " I n O l i s " > F A T F / P L E N ( 2 0 2 2 ) 6 2 < / c o t e >  
 < / r e f - c o t e s > 
</file>

<file path=customXml/item2.xml><?xml version="1.0" encoding="utf-8"?>
<b:Sources xmlns:b="http://schemas.openxmlformats.org/officeDocument/2006/bibliography" xmlns="http://schemas.openxmlformats.org/officeDocument/2006/bibliography" SelectedStyle="\oecd-en.xsl" StyleName="OECD English" Version="20220221"/>
</file>

<file path=customXml/itemProps1.xml><?xml version="1.0" encoding="utf-8"?>
<ds:datastoreItem xmlns:ds="http://schemas.openxmlformats.org/officeDocument/2006/customXml" ds:itemID="{A9AB0AAC-33F2-453C-8D6D-E5F33FE01A04}">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B6A10786-03F4-425C-9665-F508602B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5413</Characters>
  <Application>Microsoft Office Word</Application>
  <DocSecurity>0</DocSecurity>
  <Lines>85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2022-10-25T13:18:00Z</dcterms:created>
  <dcterms:modified xsi:type="dcterms:W3CDTF">2022-10-25T13:18:00Z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Name">
    <vt:lpwstr>ONE Author ODPub.dotx</vt:lpwstr>
  </property>
  <property fmtid="{D5CDD505-2E9C-101B-9397-08002B2CF9AE}" pid="3" name="OECDTemplateLocation">
    <vt:lpwstr>W:\Office2016\Workgroup Templates</vt:lpwstr>
  </property>
</Properties>
</file>